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5A398C95" w:rsidR="00EA1190" w:rsidRPr="008B2CA6" w:rsidRDefault="008B145C" w:rsidP="00EA1190">
      <w:pPr>
        <w:ind w:left="-90"/>
        <w:jc w:val="center"/>
        <w:rPr>
          <w:rFonts w:ascii="Myriad Pro" w:hAnsi="Myriad Pro"/>
          <w:b/>
          <w:bCs/>
          <w:i/>
          <w:color w:val="1C4996"/>
          <w:sz w:val="32"/>
        </w:rPr>
      </w:pPr>
      <w:r>
        <w:rPr>
          <w:rFonts w:ascii="Myriad Pro" w:hAnsi="Myriad Pro"/>
          <w:b/>
          <w:bCs/>
          <w:i/>
          <w:color w:val="1C4996"/>
          <w:sz w:val="32"/>
        </w:rPr>
        <w:t>Most Outstanding Tournament</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65A9482B" w14:textId="6CD30B9D" w:rsidR="008B145C" w:rsidRDefault="008B145C" w:rsidP="008B145C">
      <w:pPr>
        <w:pStyle w:val="SubHeading"/>
        <w:rPr>
          <w:b w:val="0"/>
          <w:i w:val="0"/>
          <w:color w:val="auto"/>
          <w:sz w:val="22"/>
          <w:szCs w:val="20"/>
        </w:rPr>
      </w:pPr>
      <w:r w:rsidRPr="008B145C">
        <w:rPr>
          <w:b w:val="0"/>
          <w:i w:val="0"/>
          <w:color w:val="auto"/>
          <w:sz w:val="22"/>
          <w:szCs w:val="20"/>
        </w:rPr>
        <w:t xml:space="preserve">To be eligible for consideration for the Most Outstanding Tournament, the tournament must show that it: </w:t>
      </w:r>
    </w:p>
    <w:p w14:paraId="77717DEB" w14:textId="77777777" w:rsidR="00A3443C" w:rsidRDefault="00A3443C" w:rsidP="008B145C">
      <w:pPr>
        <w:pStyle w:val="SubHeading"/>
        <w:rPr>
          <w:b w:val="0"/>
          <w:i w:val="0"/>
          <w:color w:val="auto"/>
          <w:sz w:val="22"/>
          <w:szCs w:val="20"/>
        </w:rPr>
      </w:pPr>
    </w:p>
    <w:p w14:paraId="3EBE0F41" w14:textId="36BF5EB1"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Is an Australian Money Tournament, Australian Junior Tour event, Australian I</w:t>
      </w:r>
      <w:r w:rsidR="00A3443C">
        <w:rPr>
          <w:b w:val="0"/>
          <w:i w:val="0"/>
          <w:color w:val="auto"/>
          <w:sz w:val="22"/>
          <w:szCs w:val="20"/>
        </w:rPr>
        <w:t xml:space="preserve">TF Junior event, ITF Seniors, </w:t>
      </w:r>
      <w:r w:rsidRPr="008B145C">
        <w:rPr>
          <w:b w:val="0"/>
          <w:i w:val="0"/>
          <w:color w:val="auto"/>
          <w:sz w:val="22"/>
          <w:szCs w:val="20"/>
        </w:rPr>
        <w:t xml:space="preserve">Australian Wheelchair Tournament </w:t>
      </w:r>
      <w:r w:rsidR="00A3443C">
        <w:rPr>
          <w:b w:val="0"/>
          <w:i w:val="0"/>
          <w:color w:val="auto"/>
          <w:sz w:val="22"/>
          <w:szCs w:val="20"/>
        </w:rPr>
        <w:t xml:space="preserve">or General Category </w:t>
      </w:r>
      <w:proofErr w:type="gramStart"/>
      <w:r w:rsidR="00A3443C">
        <w:rPr>
          <w:b w:val="0"/>
          <w:i w:val="0"/>
          <w:color w:val="auto"/>
          <w:sz w:val="22"/>
          <w:szCs w:val="20"/>
        </w:rPr>
        <w:t>Tournament.</w:t>
      </w:r>
      <w:proofErr w:type="gramEnd"/>
    </w:p>
    <w:p w14:paraId="10455C78" w14:textId="5763FCFE"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Held the final day of the tournament between the award period</w:t>
      </w:r>
    </w:p>
    <w:p w14:paraId="7F966DAB" w14:textId="7CCDB43B"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Is a Tennis Australia sanctioned event and is affiliated with their Member Association</w:t>
      </w:r>
    </w:p>
    <w:p w14:paraId="14CF1A88" w14:textId="57450F4F"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Use a tournament software program and integrated online registration system  in coordinating their tournament to ensure efficient administration </w:t>
      </w:r>
    </w:p>
    <w:p w14:paraId="2E38A74A" w14:textId="0F692A23"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Has complied with all rules and regulations as set by Tennis Australia and its relevant Member Association </w:t>
      </w:r>
    </w:p>
    <w:p w14:paraId="554F5BF4" w14:textId="50822B6C"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Has offered players a high-quality experience both on-and-off the court with activities, amenities to a high standard allowing for a positive tournament atmosphere</w:t>
      </w:r>
    </w:p>
    <w:p w14:paraId="5264E032" w14:textId="2BF84F24"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Obtained sponsorship for the tournament and implemented strategies to service these sponsors </w:t>
      </w:r>
    </w:p>
    <w:p w14:paraId="559C8204" w14:textId="7000E0D5"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 xml:space="preserve">Have a pro-active tournament committee; </w:t>
      </w:r>
    </w:p>
    <w:p w14:paraId="0579A7BF" w14:textId="6CBE3387" w:rsidR="00723769" w:rsidRPr="008B145C" w:rsidRDefault="008B145C" w:rsidP="008B145C">
      <w:pPr>
        <w:pStyle w:val="SubHeading"/>
        <w:numPr>
          <w:ilvl w:val="0"/>
          <w:numId w:val="16"/>
        </w:numPr>
        <w:rPr>
          <w:b w:val="0"/>
          <w:i w:val="0"/>
          <w:color w:val="auto"/>
          <w:sz w:val="22"/>
          <w:szCs w:val="20"/>
        </w:rPr>
      </w:pPr>
      <w:r w:rsidRPr="008B145C">
        <w:rPr>
          <w:b w:val="0"/>
          <w:i w:val="0"/>
          <w:color w:val="auto"/>
          <w:sz w:val="22"/>
          <w:szCs w:val="20"/>
        </w:rPr>
        <w:t>Fulfilled all officiating requirements or gone above to provide their own accredited officials.</w:t>
      </w:r>
    </w:p>
    <w:p w14:paraId="6E679F36" w14:textId="77777777" w:rsidR="008B145C" w:rsidRDefault="008B145C" w:rsidP="006235FF">
      <w:pPr>
        <w:pStyle w:val="SubHeading"/>
        <w:rPr>
          <w:color w:val="1C4996"/>
        </w:rPr>
      </w:pPr>
    </w:p>
    <w:p w14:paraId="3D7A6F1E" w14:textId="647EC565"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68792911" w:rsidR="009452A3" w:rsidRPr="0024120B" w:rsidRDefault="008B145C" w:rsidP="0074065D">
            <w:pPr>
              <w:pStyle w:val="BodyCopy"/>
              <w:rPr>
                <w:color w:val="auto"/>
              </w:rPr>
            </w:pPr>
            <w:r w:rsidRPr="008B145C">
              <w:rPr>
                <w:color w:val="auto"/>
              </w:rPr>
              <w:t>The overall quality of the event delivered, ensuring an outstanding experience for athletes, coaches, parents and officials</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025AA2B" w:rsidR="009452A3" w:rsidRDefault="008B145C" w:rsidP="0074065D">
            <w:pPr>
              <w:pStyle w:val="BodyCopy"/>
              <w:rPr>
                <w:color w:val="auto"/>
              </w:rPr>
            </w:pPr>
            <w:r>
              <w:rPr>
                <w:color w:val="auto"/>
              </w:rPr>
              <w:t>T</w:t>
            </w:r>
            <w:r w:rsidRPr="008B145C">
              <w:rPr>
                <w:color w:val="auto"/>
              </w:rPr>
              <w:t>he type, volume and level of success of media and promotional activities undertaken</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C86ABA0" w:rsidR="009452A3" w:rsidRPr="0024120B" w:rsidRDefault="008B145C" w:rsidP="006235FF">
            <w:pPr>
              <w:pStyle w:val="BodyCopy"/>
              <w:rPr>
                <w:color w:val="auto"/>
              </w:rPr>
            </w:pPr>
            <w:r>
              <w:rPr>
                <w:color w:val="auto"/>
              </w:rPr>
              <w:t>T</w:t>
            </w:r>
            <w:r w:rsidRPr="008B145C">
              <w:rPr>
                <w:color w:val="auto"/>
              </w:rPr>
              <w:t>he type of social activities and the standard of player amenities provided, and how this contributed to a positive tournament atmosphere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72EE8287" w:rsidR="009452A3" w:rsidRPr="00E1753E" w:rsidRDefault="008B145C" w:rsidP="0074065D">
            <w:pPr>
              <w:pStyle w:val="BodyCopy"/>
              <w:rPr>
                <w:color w:val="000000" w:themeColor="text1"/>
              </w:rPr>
            </w:pPr>
            <w:r>
              <w:rPr>
                <w:color w:val="000000" w:themeColor="text1"/>
              </w:rPr>
              <w:t>T</w:t>
            </w:r>
            <w:r w:rsidRPr="008B145C">
              <w:rPr>
                <w:color w:val="000000" w:themeColor="text1"/>
              </w:rPr>
              <w:t>he standard of the tournament sponsorship program and the level of service provided to the sponsors</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6903A39" w:rsidR="009452A3" w:rsidRPr="0024120B" w:rsidRDefault="008B145C" w:rsidP="006235FF">
            <w:pPr>
              <w:pStyle w:val="BodyCopy"/>
              <w:rPr>
                <w:color w:val="auto"/>
              </w:rPr>
            </w:pPr>
            <w:r>
              <w:rPr>
                <w:color w:val="auto"/>
              </w:rPr>
              <w:t>T</w:t>
            </w:r>
            <w:r w:rsidRPr="008B145C">
              <w:rPr>
                <w:color w:val="auto"/>
              </w:rPr>
              <w:t>he level of pro-activity shown by the tournament committee and the success of the pro-active actions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2B5090C9" w:rsidR="00723769" w:rsidRPr="0024120B" w:rsidRDefault="008B145C" w:rsidP="0074065D">
            <w:pPr>
              <w:pStyle w:val="BodyCopy"/>
              <w:rPr>
                <w:color w:val="auto"/>
              </w:rPr>
            </w:pPr>
            <w:r w:rsidRPr="008B145C">
              <w:rPr>
                <w:color w:val="auto"/>
              </w:rPr>
              <w:t>Demonstrated commitment to quality customer service throughout the tournament, as well as leader</w:t>
            </w:r>
            <w:r>
              <w:rPr>
                <w:color w:val="auto"/>
              </w:rPr>
              <w:t>ship, innovation and creativity</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6636F43C" w14:textId="3E2B9B64" w:rsidR="008B145C" w:rsidRDefault="008B145C" w:rsidP="00E1753E">
      <w:pPr>
        <w:pStyle w:val="SubHeading"/>
        <w:rPr>
          <w:color w:val="1C4996"/>
        </w:rPr>
      </w:pPr>
    </w:p>
    <w:p w14:paraId="29F51655" w14:textId="37A44545" w:rsidR="008B145C" w:rsidRDefault="008B145C" w:rsidP="00E1753E">
      <w:pPr>
        <w:pStyle w:val="SubHeading"/>
        <w:rPr>
          <w:color w:val="1C4996"/>
        </w:rPr>
      </w:pPr>
    </w:p>
    <w:p w14:paraId="34022968" w14:textId="77777777" w:rsidR="008B145C" w:rsidRDefault="008B145C" w:rsidP="00E1753E">
      <w:pPr>
        <w:pStyle w:val="SubHeading"/>
        <w:rPr>
          <w:color w:val="1C4996"/>
        </w:rPr>
      </w:pPr>
    </w:p>
    <w:p w14:paraId="353390E8" w14:textId="2B79441E"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115BFFC1" w14:textId="77777777" w:rsidR="00B31F13" w:rsidRDefault="00B31F13" w:rsidP="00E1753E">
      <w:pPr>
        <w:pStyle w:val="SubHeading"/>
        <w:rPr>
          <w:color w:val="1C4996"/>
        </w:rPr>
      </w:pPr>
    </w:p>
    <w:p w14:paraId="5382650B" w14:textId="47012101"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3ECB26CE" w:rsidR="001F56FA" w:rsidRDefault="00ED119A" w:rsidP="001F56FA">
      <w:pPr>
        <w:rPr>
          <w:rFonts w:ascii="Myriad Pro" w:hAnsi="Myriad Pro"/>
          <w:sz w:val="22"/>
          <w:szCs w:val="20"/>
          <w:lang w:val="en-US"/>
        </w:rPr>
      </w:pPr>
      <w:r>
        <w:rPr>
          <w:rFonts w:ascii="Myriad Pro" w:hAnsi="Myriad Pro"/>
          <w:sz w:val="22"/>
          <w:szCs w:val="20"/>
          <w:lang w:val="en-US"/>
        </w:rPr>
        <w:t>Where applicable, t</w:t>
      </w:r>
      <w:r w:rsidR="001F56FA" w:rsidRPr="0082292A">
        <w:rPr>
          <w:rFonts w:ascii="Myriad Pro" w:hAnsi="Myriad Pro"/>
          <w:sz w:val="22"/>
          <w:szCs w:val="20"/>
          <w:lang w:val="en-US"/>
        </w:rPr>
        <w:t xml:space="preserve">he winner of this award will be nominated for the national </w:t>
      </w:r>
      <w:r w:rsidR="008B145C">
        <w:rPr>
          <w:rFonts w:ascii="Myriad Pro" w:hAnsi="Myriad Pro"/>
          <w:sz w:val="22"/>
          <w:szCs w:val="20"/>
          <w:lang w:val="en-US"/>
        </w:rPr>
        <w:t>Most Outstanding Australian Ranking Tournament</w:t>
      </w:r>
      <w:r w:rsidR="001F56FA" w:rsidRPr="0082292A">
        <w:rPr>
          <w:rFonts w:ascii="Myriad Pro" w:hAnsi="Myriad Pro"/>
          <w:sz w:val="22"/>
          <w:szCs w:val="20"/>
          <w:lang w:val="en-US"/>
        </w:rPr>
        <w:t xml:space="preserve"> a</w:t>
      </w:r>
      <w:r w:rsidR="001F56FA">
        <w:rPr>
          <w:rFonts w:ascii="Myriad Pro" w:hAnsi="Myriad Pro"/>
          <w:sz w:val="22"/>
          <w:szCs w:val="20"/>
          <w:lang w:val="en-US"/>
        </w:rPr>
        <w:t>ward to be presented at the 2019</w:t>
      </w:r>
      <w:r w:rsidR="001F56FA" w:rsidRPr="0082292A">
        <w:rPr>
          <w:rFonts w:ascii="Myriad Pro" w:hAnsi="Myriad Pro"/>
          <w:sz w:val="22"/>
          <w:szCs w:val="20"/>
          <w:lang w:val="en-US"/>
        </w:rPr>
        <w:t xml:space="preserve"> Newcombe Medal. </w:t>
      </w:r>
    </w:p>
    <w:p w14:paraId="3D896020" w14:textId="77777777" w:rsidR="00A3443C" w:rsidRPr="0082292A" w:rsidRDefault="00A3443C"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2771B12F" w14:textId="77777777" w:rsidR="008B145C" w:rsidRDefault="00261FA3" w:rsidP="00E7385D">
      <w:r>
        <w:br w:type="page"/>
      </w:r>
      <w:bookmarkStart w:id="0" w:name="_GoBack"/>
      <w:bookmarkEnd w:id="0"/>
    </w:p>
    <w:p w14:paraId="07728C42" w14:textId="77777777" w:rsidR="008B145C" w:rsidRDefault="008B145C" w:rsidP="00E7385D"/>
    <w:p w14:paraId="7BEBF406" w14:textId="39AB9B53" w:rsidR="009520D7" w:rsidRPr="00E7385D" w:rsidRDefault="009520D7" w:rsidP="00E7385D">
      <w:pPr>
        <w:rPr>
          <w:rFonts w:ascii="Myriad Pro" w:hAnsi="Myriad Pro"/>
          <w:color w:val="5F5F5F"/>
          <w:sz w:val="22"/>
          <w:szCs w:val="20"/>
          <w:lang w:val="en-US"/>
        </w:rPr>
      </w:pPr>
      <w:r w:rsidRPr="008B145C">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463618EB" w:rsidR="00E7385D" w:rsidRDefault="008B145C" w:rsidP="00785827">
            <w:pPr>
              <w:rPr>
                <w:rFonts w:ascii="Myriad Pro" w:hAnsi="Myriad Pro"/>
                <w:color w:val="5F5F5F"/>
                <w:szCs w:val="20"/>
                <w:lang w:val="en-US"/>
              </w:rPr>
            </w:pPr>
            <w:r w:rsidRPr="008B145C">
              <w:rPr>
                <w:rFonts w:ascii="Myriad Pro" w:hAnsi="Myriad Pro"/>
                <w:szCs w:val="20"/>
                <w:lang w:val="en-US"/>
              </w:rPr>
              <w:t>The overall quality of the event delivered, ensuring an outstanding experience for athletes, coaches, parents and officials</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0E5C48B" w14:textId="77777777" w:rsidR="00E7385D" w:rsidRDefault="00E7385D" w:rsidP="00785827">
            <w:pPr>
              <w:rPr>
                <w:rFonts w:ascii="Myriad Pro" w:hAnsi="Myriad Pro"/>
                <w:color w:val="5F5F5F"/>
                <w:szCs w:val="20"/>
                <w:lang w:val="en-US"/>
              </w:rPr>
            </w:pPr>
          </w:p>
          <w:p w14:paraId="34292D93" w14:textId="77777777" w:rsidR="008B145C" w:rsidRDefault="008B145C" w:rsidP="00785827">
            <w:pPr>
              <w:rPr>
                <w:rFonts w:ascii="Myriad Pro" w:hAnsi="Myriad Pro"/>
                <w:color w:val="5F5F5F"/>
                <w:szCs w:val="20"/>
                <w:lang w:val="en-US"/>
              </w:rPr>
            </w:pPr>
          </w:p>
          <w:p w14:paraId="01EBE11A" w14:textId="77777777" w:rsidR="008B145C" w:rsidRDefault="008B145C" w:rsidP="00785827">
            <w:pPr>
              <w:rPr>
                <w:rFonts w:ascii="Myriad Pro" w:hAnsi="Myriad Pro"/>
                <w:color w:val="5F5F5F"/>
                <w:szCs w:val="20"/>
                <w:lang w:val="en-US"/>
              </w:rPr>
            </w:pPr>
          </w:p>
          <w:p w14:paraId="254264C3" w14:textId="77777777" w:rsidR="008B145C" w:rsidRDefault="008B145C" w:rsidP="00785827">
            <w:pPr>
              <w:rPr>
                <w:rFonts w:ascii="Myriad Pro" w:hAnsi="Myriad Pro"/>
                <w:color w:val="5F5F5F"/>
                <w:szCs w:val="20"/>
                <w:lang w:val="en-US"/>
              </w:rPr>
            </w:pPr>
          </w:p>
          <w:p w14:paraId="7E47AC40" w14:textId="7BC73B7F" w:rsidR="008B145C" w:rsidRDefault="008B145C"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005B6F6B" w:rsidR="00E7385D" w:rsidRPr="0090019F" w:rsidRDefault="008B145C" w:rsidP="00785827">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type, volume and level of success of media and promotional activities undertaken</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93D3569" w14:textId="77777777" w:rsidR="00E7385D" w:rsidRDefault="00E7385D" w:rsidP="00785827">
            <w:pPr>
              <w:rPr>
                <w:rFonts w:ascii="Myriad Pro" w:hAnsi="Myriad Pro"/>
                <w:szCs w:val="20"/>
                <w:lang w:val="en-US"/>
              </w:rPr>
            </w:pPr>
          </w:p>
          <w:p w14:paraId="337EA4E9" w14:textId="77777777" w:rsidR="008B145C" w:rsidRDefault="008B145C" w:rsidP="00785827">
            <w:pPr>
              <w:rPr>
                <w:rFonts w:ascii="Myriad Pro" w:hAnsi="Myriad Pro"/>
                <w:szCs w:val="20"/>
                <w:lang w:val="en-US"/>
              </w:rPr>
            </w:pPr>
          </w:p>
          <w:p w14:paraId="06271866" w14:textId="77777777" w:rsidR="008B145C" w:rsidRDefault="008B145C" w:rsidP="00785827">
            <w:pPr>
              <w:rPr>
                <w:rFonts w:ascii="Myriad Pro" w:hAnsi="Myriad Pro"/>
                <w:szCs w:val="20"/>
                <w:lang w:val="en-US"/>
              </w:rPr>
            </w:pPr>
          </w:p>
          <w:p w14:paraId="639D90EA" w14:textId="77777777" w:rsidR="008B145C" w:rsidRDefault="008B145C" w:rsidP="00785827">
            <w:pPr>
              <w:rPr>
                <w:rFonts w:ascii="Myriad Pro" w:hAnsi="Myriad Pro"/>
                <w:szCs w:val="20"/>
                <w:lang w:val="en-US"/>
              </w:rPr>
            </w:pPr>
          </w:p>
          <w:p w14:paraId="37FEE20D" w14:textId="31820243" w:rsidR="008B145C" w:rsidRPr="0090019F" w:rsidRDefault="008B145C"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22AF326B" w:rsidR="00E7385D" w:rsidRPr="0090019F" w:rsidRDefault="008B145C" w:rsidP="00785827">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type of social activities and the standard of player amenities provided, and how this contributed to a positive tournament atmosphere</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168D2B7" w14:textId="77777777" w:rsidR="00E7385D" w:rsidRDefault="00E7385D" w:rsidP="00785827">
            <w:pPr>
              <w:rPr>
                <w:rFonts w:ascii="Myriad Pro" w:hAnsi="Myriad Pro"/>
                <w:szCs w:val="20"/>
                <w:lang w:val="en-US"/>
              </w:rPr>
            </w:pPr>
          </w:p>
          <w:p w14:paraId="351BC334" w14:textId="77777777" w:rsidR="008B145C" w:rsidRDefault="008B145C" w:rsidP="00785827">
            <w:pPr>
              <w:rPr>
                <w:rFonts w:ascii="Myriad Pro" w:hAnsi="Myriad Pro"/>
                <w:szCs w:val="20"/>
                <w:lang w:val="en-US"/>
              </w:rPr>
            </w:pPr>
          </w:p>
          <w:p w14:paraId="0C4CCB9E" w14:textId="77777777" w:rsidR="008B145C" w:rsidRDefault="008B145C" w:rsidP="00785827">
            <w:pPr>
              <w:rPr>
                <w:rFonts w:ascii="Myriad Pro" w:hAnsi="Myriad Pro"/>
                <w:szCs w:val="20"/>
                <w:lang w:val="en-US"/>
              </w:rPr>
            </w:pPr>
          </w:p>
          <w:p w14:paraId="12F60B32" w14:textId="77777777" w:rsidR="008B145C" w:rsidRDefault="008B145C" w:rsidP="00785827">
            <w:pPr>
              <w:rPr>
                <w:rFonts w:ascii="Myriad Pro" w:hAnsi="Myriad Pro"/>
                <w:szCs w:val="20"/>
                <w:lang w:val="en-US"/>
              </w:rPr>
            </w:pPr>
          </w:p>
          <w:p w14:paraId="48F4BD12" w14:textId="0968C263" w:rsidR="008B145C" w:rsidRPr="0090019F" w:rsidRDefault="008B145C"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7EF0D801" w:rsidR="00E7385D" w:rsidRPr="0090019F" w:rsidRDefault="008B145C" w:rsidP="00785827">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standard of the tournament sponsorship program and the level of service provided to the sponsors</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B46F866" w14:textId="77777777" w:rsidR="00E7385D" w:rsidRDefault="00E7385D" w:rsidP="00785827">
            <w:pPr>
              <w:rPr>
                <w:rFonts w:ascii="Myriad Pro" w:hAnsi="Myriad Pro"/>
                <w:szCs w:val="20"/>
                <w:lang w:val="en-US"/>
              </w:rPr>
            </w:pPr>
          </w:p>
          <w:p w14:paraId="2C5D0E7B" w14:textId="77777777" w:rsidR="008B145C" w:rsidRDefault="008B145C" w:rsidP="00785827">
            <w:pPr>
              <w:rPr>
                <w:rFonts w:ascii="Myriad Pro" w:hAnsi="Myriad Pro"/>
                <w:szCs w:val="20"/>
                <w:lang w:val="en-US"/>
              </w:rPr>
            </w:pPr>
          </w:p>
          <w:p w14:paraId="0DDFFEE6" w14:textId="77777777" w:rsidR="008B145C" w:rsidRDefault="008B145C" w:rsidP="00785827">
            <w:pPr>
              <w:rPr>
                <w:rFonts w:ascii="Myriad Pro" w:hAnsi="Myriad Pro"/>
                <w:szCs w:val="20"/>
                <w:lang w:val="en-US"/>
              </w:rPr>
            </w:pPr>
          </w:p>
          <w:p w14:paraId="75BC602E" w14:textId="77777777" w:rsidR="008B145C" w:rsidRDefault="008B145C" w:rsidP="00785827">
            <w:pPr>
              <w:rPr>
                <w:rFonts w:ascii="Myriad Pro" w:hAnsi="Myriad Pro"/>
                <w:szCs w:val="20"/>
                <w:lang w:val="en-US"/>
              </w:rPr>
            </w:pPr>
          </w:p>
          <w:p w14:paraId="67BBB4CD" w14:textId="2A22023B" w:rsidR="008B145C" w:rsidRPr="0090019F" w:rsidRDefault="008B145C"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4EE14BF2" w:rsidR="0090019F" w:rsidRPr="0090019F" w:rsidRDefault="008B145C" w:rsidP="0090019F">
            <w:pPr>
              <w:rPr>
                <w:rFonts w:ascii="Myriad Pro" w:hAnsi="Myriad Pro"/>
                <w:szCs w:val="20"/>
                <w:lang w:val="en-US"/>
              </w:rPr>
            </w:pPr>
            <w:r>
              <w:rPr>
                <w:rFonts w:ascii="Myriad Pro" w:hAnsi="Myriad Pro"/>
                <w:szCs w:val="20"/>
                <w:lang w:val="en-US"/>
              </w:rPr>
              <w:t>T</w:t>
            </w:r>
            <w:r w:rsidRPr="008B145C">
              <w:rPr>
                <w:rFonts w:ascii="Myriad Pro" w:hAnsi="Myriad Pro"/>
                <w:szCs w:val="20"/>
                <w:lang w:val="en-US"/>
              </w:rPr>
              <w:t>he level of pro-activity shown by the tournament committee and the success of the pro-active actions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DB4EE59" w14:textId="77777777" w:rsidR="0090019F" w:rsidRDefault="0090019F" w:rsidP="0090019F">
            <w:pPr>
              <w:rPr>
                <w:rFonts w:ascii="Myriad Pro" w:hAnsi="Myriad Pro"/>
                <w:szCs w:val="20"/>
                <w:lang w:val="en-US"/>
              </w:rPr>
            </w:pPr>
          </w:p>
          <w:p w14:paraId="364A9C39" w14:textId="77777777" w:rsidR="008B145C" w:rsidRDefault="008B145C" w:rsidP="0090019F">
            <w:pPr>
              <w:rPr>
                <w:rFonts w:ascii="Myriad Pro" w:hAnsi="Myriad Pro"/>
                <w:szCs w:val="20"/>
                <w:lang w:val="en-US"/>
              </w:rPr>
            </w:pPr>
          </w:p>
          <w:p w14:paraId="48AC394B" w14:textId="77777777" w:rsidR="008B145C" w:rsidRDefault="008B145C" w:rsidP="0090019F">
            <w:pPr>
              <w:rPr>
                <w:rFonts w:ascii="Myriad Pro" w:hAnsi="Myriad Pro"/>
                <w:szCs w:val="20"/>
                <w:lang w:val="en-US"/>
              </w:rPr>
            </w:pPr>
          </w:p>
          <w:p w14:paraId="721C38F8" w14:textId="77777777" w:rsidR="008B145C" w:rsidRDefault="008B145C" w:rsidP="0090019F">
            <w:pPr>
              <w:rPr>
                <w:rFonts w:ascii="Myriad Pro" w:hAnsi="Myriad Pro"/>
                <w:szCs w:val="20"/>
                <w:lang w:val="en-US"/>
              </w:rPr>
            </w:pPr>
          </w:p>
          <w:p w14:paraId="3BFBEDF4" w14:textId="18182A52" w:rsidR="008B145C" w:rsidRPr="0090019F" w:rsidRDefault="008B145C"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33024B3E" w:rsidR="0090019F" w:rsidRPr="0090019F" w:rsidRDefault="008B145C" w:rsidP="0090019F">
            <w:pPr>
              <w:rPr>
                <w:rFonts w:ascii="Myriad Pro" w:hAnsi="Myriad Pro"/>
                <w:szCs w:val="20"/>
                <w:lang w:val="en-US"/>
              </w:rPr>
            </w:pPr>
            <w:r w:rsidRPr="008B145C">
              <w:rPr>
                <w:rFonts w:ascii="Myriad Pro" w:hAnsi="Myriad Pro"/>
                <w:szCs w:val="20"/>
                <w:lang w:val="en-US"/>
              </w:rPr>
              <w:t>Demonstrated commitment to quality customer service throughout the tournament, as well as leader</w:t>
            </w:r>
            <w:r>
              <w:rPr>
                <w:rFonts w:ascii="Myriad Pro" w:hAnsi="Myriad Pro"/>
                <w:szCs w:val="20"/>
                <w:lang w:val="en-US"/>
              </w:rPr>
              <w:t>ship, innovation and creativity</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E51B902" w14:textId="77777777" w:rsidR="0090019F" w:rsidRDefault="0090019F" w:rsidP="0090019F">
            <w:pPr>
              <w:rPr>
                <w:rFonts w:ascii="Myriad Pro" w:hAnsi="Myriad Pro"/>
                <w:szCs w:val="20"/>
                <w:lang w:val="en-US"/>
              </w:rPr>
            </w:pPr>
          </w:p>
          <w:p w14:paraId="744B2C09" w14:textId="77777777" w:rsidR="008B145C" w:rsidRDefault="008B145C" w:rsidP="0090019F">
            <w:pPr>
              <w:rPr>
                <w:rFonts w:ascii="Myriad Pro" w:hAnsi="Myriad Pro"/>
                <w:szCs w:val="20"/>
                <w:lang w:val="en-US"/>
              </w:rPr>
            </w:pPr>
          </w:p>
          <w:p w14:paraId="3C82282D" w14:textId="77777777" w:rsidR="008B145C" w:rsidRDefault="008B145C" w:rsidP="0090019F">
            <w:pPr>
              <w:rPr>
                <w:rFonts w:ascii="Myriad Pro" w:hAnsi="Myriad Pro"/>
                <w:szCs w:val="20"/>
                <w:lang w:val="en-US"/>
              </w:rPr>
            </w:pPr>
          </w:p>
          <w:p w14:paraId="56B5ADDD" w14:textId="77777777" w:rsidR="008B145C" w:rsidRDefault="008B145C" w:rsidP="0090019F">
            <w:pPr>
              <w:rPr>
                <w:rFonts w:ascii="Myriad Pro" w:hAnsi="Myriad Pro"/>
                <w:szCs w:val="20"/>
                <w:lang w:val="en-US"/>
              </w:rPr>
            </w:pPr>
          </w:p>
          <w:p w14:paraId="02F56821" w14:textId="226D507E" w:rsidR="008B145C" w:rsidRPr="0090019F" w:rsidRDefault="008B145C"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14EE14A7" w:rsidR="006235FF" w:rsidRDefault="0074065D" w:rsidP="00C031A9">
            <w:pPr>
              <w:pStyle w:val="BodyCopy"/>
            </w:pPr>
            <w:r>
              <w:t>2019</w:t>
            </w:r>
            <w:r w:rsidR="00E33A2C">
              <w:t xml:space="preserve"> </w:t>
            </w:r>
            <w:r w:rsidR="006235FF">
              <w:t xml:space="preserve">Victorian Tennis Awards – </w:t>
            </w:r>
            <w:r w:rsidR="008B145C">
              <w:t xml:space="preserve">Most Outstanding Australian Ranking Tournament </w:t>
            </w:r>
            <w:r w:rsidR="008B145C">
              <w:tab/>
            </w:r>
            <w:r w:rsidR="008B145C">
              <w:tab/>
            </w:r>
            <w:r w:rsidR="008B145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D119A">
              <w:rPr>
                <w:noProof/>
              </w:rPr>
              <w:t>2</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D119A">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FF8"/>
    <w:multiLevelType w:val="hybridMultilevel"/>
    <w:tmpl w:val="E44A6B44"/>
    <w:lvl w:ilvl="0" w:tplc="CFB6248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02DD"/>
    <w:multiLevelType w:val="hybridMultilevel"/>
    <w:tmpl w:val="16E2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4"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3"/>
  </w:num>
  <w:num w:numId="6">
    <w:abstractNumId w:val="14"/>
  </w:num>
  <w:num w:numId="7">
    <w:abstractNumId w:val="2"/>
  </w:num>
  <w:num w:numId="8">
    <w:abstractNumId w:val="11"/>
  </w:num>
  <w:num w:numId="9">
    <w:abstractNumId w:val="8"/>
  </w:num>
  <w:num w:numId="10">
    <w:abstractNumId w:val="10"/>
  </w:num>
  <w:num w:numId="11">
    <w:abstractNumId w:val="6"/>
  </w:num>
  <w:num w:numId="12">
    <w:abstractNumId w:val="5"/>
  </w:num>
  <w:num w:numId="13">
    <w:abstractNumId w:val="15"/>
  </w:num>
  <w:num w:numId="14">
    <w:abstractNumId w:val="0"/>
  </w:num>
  <w:num w:numId="15">
    <w:abstractNumId w:val="1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E3737"/>
    <w:rsid w:val="0040334E"/>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10E8A"/>
    <w:rsid w:val="00723769"/>
    <w:rsid w:val="007248D4"/>
    <w:rsid w:val="00725810"/>
    <w:rsid w:val="0074065D"/>
    <w:rsid w:val="00754370"/>
    <w:rsid w:val="007643BD"/>
    <w:rsid w:val="00771C29"/>
    <w:rsid w:val="007766FE"/>
    <w:rsid w:val="00785827"/>
    <w:rsid w:val="007D75E1"/>
    <w:rsid w:val="0081152F"/>
    <w:rsid w:val="00855EA4"/>
    <w:rsid w:val="00893887"/>
    <w:rsid w:val="008A1F0D"/>
    <w:rsid w:val="008B145C"/>
    <w:rsid w:val="008B2CA6"/>
    <w:rsid w:val="008B5B1B"/>
    <w:rsid w:val="0090019F"/>
    <w:rsid w:val="00900739"/>
    <w:rsid w:val="00907CC3"/>
    <w:rsid w:val="0091311D"/>
    <w:rsid w:val="00917856"/>
    <w:rsid w:val="0093022B"/>
    <w:rsid w:val="009452A3"/>
    <w:rsid w:val="009520D7"/>
    <w:rsid w:val="0095453B"/>
    <w:rsid w:val="009704C9"/>
    <w:rsid w:val="009D2365"/>
    <w:rsid w:val="00A07252"/>
    <w:rsid w:val="00A17F19"/>
    <w:rsid w:val="00A23ABA"/>
    <w:rsid w:val="00A252EB"/>
    <w:rsid w:val="00A3443C"/>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61DF2"/>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A1190"/>
    <w:rsid w:val="00ED119A"/>
    <w:rsid w:val="00EE2B61"/>
    <w:rsid w:val="00EE30F5"/>
    <w:rsid w:val="00F10A4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0DE2-237F-4343-96C9-D6082F7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5049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17</cp:revision>
  <cp:lastPrinted>2019-07-09T05:59:00Z</cp:lastPrinted>
  <dcterms:created xsi:type="dcterms:W3CDTF">2019-07-09T03:52:00Z</dcterms:created>
  <dcterms:modified xsi:type="dcterms:W3CDTF">2019-07-16T05:00:00Z</dcterms:modified>
  <cp:category/>
</cp:coreProperties>
</file>