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77777777" w:rsidR="00785827" w:rsidRDefault="00785827" w:rsidP="00907CC3">
      <w:pPr>
        <w:ind w:left="-90"/>
        <w:rPr>
          <w:rFonts w:ascii="Myriad Pro" w:hAnsi="Myriad Pro"/>
          <w:b/>
          <w:bCs/>
        </w:rPr>
      </w:pPr>
    </w:p>
    <w:p w14:paraId="40FF3694" w14:textId="1FA97265" w:rsidR="00EA1190" w:rsidRPr="008B2CA6" w:rsidRDefault="00723769" w:rsidP="00EA1190">
      <w:pPr>
        <w:ind w:left="-90"/>
        <w:jc w:val="center"/>
        <w:rPr>
          <w:rFonts w:ascii="Myriad Pro" w:hAnsi="Myriad Pro"/>
          <w:b/>
          <w:bCs/>
          <w:i/>
          <w:color w:val="1C4996"/>
          <w:sz w:val="32"/>
        </w:rPr>
      </w:pPr>
      <w:r>
        <w:rPr>
          <w:rFonts w:ascii="Myriad Pro" w:hAnsi="Myriad Pro"/>
          <w:b/>
          <w:bCs/>
          <w:i/>
          <w:color w:val="1C4996"/>
          <w:sz w:val="32"/>
        </w:rPr>
        <w:t xml:space="preserve">Volunteer Achievement </w:t>
      </w:r>
      <w:r w:rsidR="007077D9">
        <w:rPr>
          <w:rFonts w:ascii="Myriad Pro" w:hAnsi="Myriad Pro"/>
          <w:b/>
          <w:bCs/>
          <w:i/>
          <w:color w:val="1C4996"/>
          <w:sz w:val="32"/>
        </w:rPr>
        <w:t>Award</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D60D362" w14:textId="77777777" w:rsidR="00723769" w:rsidRPr="00723769" w:rsidRDefault="00723769" w:rsidP="006235FF">
      <w:pPr>
        <w:pStyle w:val="SubHeading"/>
        <w:rPr>
          <w:b w:val="0"/>
          <w:i w:val="0"/>
          <w:color w:val="auto"/>
          <w:sz w:val="22"/>
          <w:szCs w:val="20"/>
        </w:rPr>
      </w:pPr>
      <w:r w:rsidRPr="00723769">
        <w:rPr>
          <w:b w:val="0"/>
          <w:i w:val="0"/>
          <w:color w:val="auto"/>
          <w:sz w:val="22"/>
          <w:szCs w:val="20"/>
        </w:rPr>
        <w:t>Nominees must show they:</w:t>
      </w:r>
    </w:p>
    <w:p w14:paraId="2C637E7B" w14:textId="1261F4F1" w:rsidR="00723769" w:rsidRPr="00723769" w:rsidRDefault="00723769" w:rsidP="00723769">
      <w:pPr>
        <w:pStyle w:val="SubHeading"/>
        <w:numPr>
          <w:ilvl w:val="0"/>
          <w:numId w:val="15"/>
        </w:numPr>
        <w:rPr>
          <w:b w:val="0"/>
          <w:i w:val="0"/>
          <w:color w:val="auto"/>
          <w:sz w:val="22"/>
          <w:szCs w:val="20"/>
        </w:rPr>
      </w:pPr>
      <w:r w:rsidRPr="00723769">
        <w:rPr>
          <w:b w:val="0"/>
          <w:i w:val="0"/>
          <w:color w:val="auto"/>
          <w:sz w:val="22"/>
          <w:szCs w:val="20"/>
        </w:rPr>
        <w:t>Work on an entirely voluntary basis and have done so for</w:t>
      </w:r>
      <w:r w:rsidR="00C570A2">
        <w:rPr>
          <w:b w:val="0"/>
          <w:i w:val="0"/>
          <w:color w:val="auto"/>
          <w:sz w:val="22"/>
          <w:szCs w:val="20"/>
        </w:rPr>
        <w:t xml:space="preserve"> at least</w:t>
      </w:r>
      <w:r w:rsidRPr="00723769">
        <w:rPr>
          <w:b w:val="0"/>
          <w:i w:val="0"/>
          <w:color w:val="auto"/>
          <w:sz w:val="22"/>
          <w:szCs w:val="20"/>
        </w:rPr>
        <w:t xml:space="preserve"> the 12 months prior to nomination </w:t>
      </w:r>
    </w:p>
    <w:p w14:paraId="5E488C7D" w14:textId="048BB686" w:rsidR="00723769" w:rsidRPr="00723769" w:rsidRDefault="00723769" w:rsidP="00723769">
      <w:pPr>
        <w:pStyle w:val="SubHeading"/>
        <w:numPr>
          <w:ilvl w:val="0"/>
          <w:numId w:val="15"/>
        </w:numPr>
        <w:rPr>
          <w:b w:val="0"/>
          <w:i w:val="0"/>
          <w:color w:val="auto"/>
          <w:sz w:val="22"/>
          <w:szCs w:val="20"/>
        </w:rPr>
      </w:pPr>
      <w:r w:rsidRPr="00723769">
        <w:rPr>
          <w:b w:val="0"/>
          <w:i w:val="0"/>
          <w:color w:val="auto"/>
          <w:sz w:val="22"/>
          <w:szCs w:val="20"/>
        </w:rPr>
        <w:t>Are supported by at least one member of the current management committee by providing documented evidence to substantiate meeting the selection criteria (</w:t>
      </w:r>
      <w:proofErr w:type="spellStart"/>
      <w:r w:rsidRPr="00723769">
        <w:rPr>
          <w:b w:val="0"/>
          <w:i w:val="0"/>
          <w:color w:val="auto"/>
          <w:sz w:val="22"/>
          <w:szCs w:val="20"/>
        </w:rPr>
        <w:t>eg.</w:t>
      </w:r>
      <w:proofErr w:type="spellEnd"/>
      <w:r w:rsidRPr="00723769">
        <w:rPr>
          <w:b w:val="0"/>
          <w:i w:val="0"/>
          <w:color w:val="auto"/>
          <w:sz w:val="22"/>
          <w:szCs w:val="20"/>
        </w:rPr>
        <w:t xml:space="preserve"> letters of thanks, supporting evidence from current administrators of the club/association, publications depicting the nominee’s position within the club/association)</w:t>
      </w:r>
    </w:p>
    <w:p w14:paraId="0579A7BF" w14:textId="77777777" w:rsidR="00723769" w:rsidRDefault="00723769" w:rsidP="006235F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2AA19795" w:rsidR="009452A3" w:rsidRPr="0024120B" w:rsidRDefault="00723769" w:rsidP="0074065D">
            <w:pPr>
              <w:pStyle w:val="BodyCopy"/>
              <w:rPr>
                <w:color w:val="auto"/>
              </w:rPr>
            </w:pPr>
            <w:r>
              <w:rPr>
                <w:color w:val="auto"/>
              </w:rPr>
              <w:t>The leadership qualities shown in continuing to grow the club or facilitate successful change</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30119D0C" w:rsidR="009452A3" w:rsidRDefault="00723769" w:rsidP="0074065D">
            <w:pPr>
              <w:pStyle w:val="BodyCopy"/>
              <w:rPr>
                <w:color w:val="auto"/>
              </w:rPr>
            </w:pPr>
            <w:r>
              <w:rPr>
                <w:color w:val="auto"/>
              </w:rPr>
              <w:t>The leadership qualities shown in building and / or maintaining facilities and / or operating procedures</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A5E218B" w:rsidR="009452A3" w:rsidRPr="0024120B" w:rsidRDefault="00723769" w:rsidP="006235FF">
            <w:pPr>
              <w:pStyle w:val="BodyCopy"/>
              <w:rPr>
                <w:color w:val="auto"/>
              </w:rPr>
            </w:pPr>
            <w:r>
              <w:rPr>
                <w:color w:val="auto"/>
              </w:rPr>
              <w:t>The impact of the time spent both short term and long term and how that benefits the club, community and the sport</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15319E45" w:rsidR="009452A3" w:rsidRPr="00E1753E" w:rsidRDefault="00723769" w:rsidP="0074065D">
            <w:pPr>
              <w:pStyle w:val="BodyCopy"/>
              <w:rPr>
                <w:color w:val="000000" w:themeColor="text1"/>
              </w:rPr>
            </w:pPr>
            <w:r>
              <w:rPr>
                <w:color w:val="000000" w:themeColor="text1"/>
              </w:rPr>
              <w:t>Evidence of fostered relationships within and between the club / association and the community</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35E3BE6D" w:rsidR="009452A3" w:rsidRPr="0024120B" w:rsidRDefault="00723769" w:rsidP="006235FF">
            <w:pPr>
              <w:pStyle w:val="BodyCopy"/>
              <w:rPr>
                <w:color w:val="auto"/>
              </w:rPr>
            </w:pPr>
            <w:r>
              <w:rPr>
                <w:color w:val="auto"/>
              </w:rPr>
              <w:t>The contribution to making Tennis inclusive for diverse communities (</w:t>
            </w:r>
            <w:proofErr w:type="spellStart"/>
            <w:r>
              <w:rPr>
                <w:color w:val="auto"/>
              </w:rPr>
              <w:t>ie</w:t>
            </w:r>
            <w:proofErr w:type="spellEnd"/>
            <w:r>
              <w:rPr>
                <w:color w:val="auto"/>
              </w:rPr>
              <w:t>. people with a disability, multicultural communities, Indigenous Australians, people who identify as LGBTI, low socio-economic communities.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36853D43" w14:textId="1855E99A" w:rsidR="00723769" w:rsidRPr="0024120B" w:rsidRDefault="00723769" w:rsidP="0074065D">
            <w:pPr>
              <w:pStyle w:val="BodyCopy"/>
              <w:rPr>
                <w:color w:val="auto"/>
              </w:rPr>
            </w:pPr>
            <w:r>
              <w:rPr>
                <w:color w:val="auto"/>
              </w:rPr>
              <w:t>Have made a considerable contribution to the sport, specifically in the area of delivering more active players</w:t>
            </w:r>
          </w:p>
        </w:tc>
      </w:tr>
      <w:tr w:rsidR="009452A3" w:rsidRPr="0024120B" w14:paraId="0B89EBCE" w14:textId="77777777" w:rsidTr="009452A3">
        <w:tc>
          <w:tcPr>
            <w:tcW w:w="562" w:type="dxa"/>
          </w:tcPr>
          <w:p w14:paraId="17C82320" w14:textId="20B6747A" w:rsidR="009452A3" w:rsidRPr="0074065D" w:rsidRDefault="001C4A65" w:rsidP="00602BDA">
            <w:pPr>
              <w:pStyle w:val="BodyCopy"/>
              <w:jc w:val="center"/>
              <w:rPr>
                <w:color w:val="auto"/>
              </w:rPr>
            </w:pPr>
            <w:r>
              <w:rPr>
                <w:color w:val="auto"/>
              </w:rPr>
              <w:t>7</w:t>
            </w:r>
          </w:p>
        </w:tc>
        <w:tc>
          <w:tcPr>
            <w:tcW w:w="9894" w:type="dxa"/>
          </w:tcPr>
          <w:p w14:paraId="03B9D76C" w14:textId="04F71810" w:rsidR="009452A3" w:rsidRPr="0024120B" w:rsidRDefault="00723769" w:rsidP="0074065D">
            <w:pPr>
              <w:pStyle w:val="BodyCopy"/>
              <w:rPr>
                <w:color w:val="auto"/>
              </w:rPr>
            </w:pPr>
            <w:r>
              <w:rPr>
                <w:color w:val="auto"/>
              </w:rPr>
              <w:t xml:space="preserve">Have demonstrated significant achievement while in the roles held within the club / association </w:t>
            </w:r>
          </w:p>
        </w:tc>
      </w:tr>
    </w:tbl>
    <w:p w14:paraId="4527FFB3" w14:textId="77777777" w:rsidR="006235FF" w:rsidRPr="0024120B" w:rsidRDefault="006235FF" w:rsidP="006235FF">
      <w:pPr>
        <w:rPr>
          <w:sz w:val="16"/>
          <w:szCs w:val="16"/>
        </w:rPr>
      </w:pPr>
    </w:p>
    <w:p w14:paraId="38DE2EDE" w14:textId="69A0F1A1" w:rsidR="00E1753E" w:rsidRDefault="00E1753E" w:rsidP="00C570A2">
      <w:pPr>
        <w:pStyle w:val="BodyCopy"/>
        <w:rPr>
          <w:rFonts w:cs="Calibri"/>
          <w:color w:val="auto"/>
          <w:szCs w:val="22"/>
        </w:rPr>
      </w:pPr>
      <w:r w:rsidRPr="002F37A1">
        <w:rPr>
          <w:rFonts w:cs="Helvetica"/>
          <w:b/>
          <w:color w:val="auto"/>
          <w:szCs w:val="22"/>
          <w:u w:val="single"/>
        </w:rPr>
        <w:t>All</w:t>
      </w:r>
      <w:r w:rsidR="0074065D">
        <w:rPr>
          <w:rFonts w:cs="Helvetica"/>
          <w:color w:val="auto"/>
          <w:szCs w:val="22"/>
        </w:rPr>
        <w:t xml:space="preserve"> nominations for the 20</w:t>
      </w:r>
      <w:r w:rsidR="00C570A2">
        <w:rPr>
          <w:rFonts w:cs="Helvetica"/>
          <w:color w:val="auto"/>
          <w:szCs w:val="22"/>
        </w:rPr>
        <w:t>21</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hyperlink r:id="rId8" w:history="1">
        <w:r w:rsidR="00C570A2" w:rsidRPr="00C570A2">
          <w:rPr>
            <w:rFonts w:cs="Calibri"/>
            <w:color w:val="0000FF"/>
            <w:szCs w:val="22"/>
            <w:u w:val="single"/>
          </w:rPr>
          <w:t xml:space="preserve">https://www.tennis.com.au/vic/news-and-events/victoriantennisawards/overview   </w:t>
        </w:r>
      </w:hyperlink>
    </w:p>
    <w:p w14:paraId="5E6293C4" w14:textId="77777777" w:rsidR="00C570A2" w:rsidRDefault="00C570A2" w:rsidP="00C570A2">
      <w:pPr>
        <w:pStyle w:val="BodyCopy"/>
        <w:rPr>
          <w:rFonts w:cs="Helvetica"/>
        </w:rPr>
      </w:pP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14033D88" w:rsidR="00E1753E" w:rsidRPr="002F37A1" w:rsidRDefault="00E1753E" w:rsidP="00E1753E">
      <w:pPr>
        <w:pStyle w:val="BodyCopy"/>
        <w:rPr>
          <w:color w:val="auto"/>
          <w:szCs w:val="22"/>
        </w:rPr>
      </w:pPr>
      <w:r w:rsidRPr="002F37A1">
        <w:rPr>
          <w:color w:val="auto"/>
          <w:szCs w:val="22"/>
        </w:rPr>
        <w:t>All decisions in relation to the 20</w:t>
      </w:r>
      <w:r w:rsidR="00C570A2">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629CD51D" w14:textId="2DFDE56A" w:rsidR="00C570A2" w:rsidRPr="00C570A2" w:rsidRDefault="00C570A2" w:rsidP="00C570A2">
      <w:pPr>
        <w:pStyle w:val="BodyCopy"/>
        <w:numPr>
          <w:ilvl w:val="0"/>
          <w:numId w:val="16"/>
        </w:numPr>
        <w:rPr>
          <w:color w:val="auto"/>
        </w:rPr>
      </w:pPr>
      <w:r w:rsidRPr="00C570A2">
        <w:rPr>
          <w:color w:val="auto"/>
        </w:rPr>
        <w:t xml:space="preserve">The award period is 1 August 2019 – 31 August 2021 </w:t>
      </w:r>
    </w:p>
    <w:p w14:paraId="35A89B51" w14:textId="4B3BE06D" w:rsidR="00C570A2" w:rsidRPr="00C570A2" w:rsidRDefault="00C570A2" w:rsidP="00C570A2">
      <w:pPr>
        <w:pStyle w:val="BodyCopy"/>
        <w:numPr>
          <w:ilvl w:val="0"/>
          <w:numId w:val="16"/>
        </w:numPr>
        <w:rPr>
          <w:color w:val="auto"/>
        </w:rPr>
      </w:pPr>
      <w:r w:rsidRPr="00C570A2">
        <w:rPr>
          <w:color w:val="auto"/>
        </w:rPr>
        <w:t>Nominations Open – Thursday 5 August 2021</w:t>
      </w:r>
    </w:p>
    <w:p w14:paraId="205B4DD7" w14:textId="4A84566A" w:rsidR="00C570A2" w:rsidRPr="00C570A2" w:rsidRDefault="00C570A2" w:rsidP="00C570A2">
      <w:pPr>
        <w:pStyle w:val="BodyCopy"/>
        <w:numPr>
          <w:ilvl w:val="0"/>
          <w:numId w:val="16"/>
        </w:numPr>
        <w:rPr>
          <w:color w:val="auto"/>
        </w:rPr>
      </w:pPr>
      <w:r w:rsidRPr="00C570A2">
        <w:rPr>
          <w:color w:val="auto"/>
        </w:rPr>
        <w:t xml:space="preserve">Nominations Close – </w:t>
      </w:r>
      <w:r w:rsidR="00286C31">
        <w:rPr>
          <w:color w:val="auto"/>
        </w:rPr>
        <w:t xml:space="preserve">11.59pm </w:t>
      </w:r>
      <w:r w:rsidRPr="00C570A2">
        <w:rPr>
          <w:color w:val="auto"/>
        </w:rPr>
        <w:t xml:space="preserve">on </w:t>
      </w:r>
      <w:r w:rsidR="00286C31">
        <w:rPr>
          <w:color w:val="auto"/>
        </w:rPr>
        <w:t>Sunday</w:t>
      </w:r>
      <w:r w:rsidRPr="00C570A2">
        <w:rPr>
          <w:color w:val="auto"/>
        </w:rPr>
        <w:t xml:space="preserve"> 29 August 2021</w:t>
      </w:r>
    </w:p>
    <w:p w14:paraId="69C5FBA8" w14:textId="65B8AF7A" w:rsidR="00C570A2" w:rsidRPr="00C570A2" w:rsidRDefault="00C570A2" w:rsidP="00C570A2">
      <w:pPr>
        <w:pStyle w:val="BodyCopy"/>
        <w:numPr>
          <w:ilvl w:val="0"/>
          <w:numId w:val="16"/>
        </w:numPr>
        <w:rPr>
          <w:color w:val="auto"/>
        </w:rPr>
      </w:pPr>
      <w:r w:rsidRPr="00C570A2">
        <w:rPr>
          <w:color w:val="auto"/>
        </w:rPr>
        <w:t>All finalists will be notified in writing on Thursday 16 September 2021</w:t>
      </w:r>
    </w:p>
    <w:p w14:paraId="5C3E0CEA" w14:textId="768379AB" w:rsidR="00E1753E" w:rsidRPr="00476756" w:rsidRDefault="00C570A2" w:rsidP="00C570A2">
      <w:pPr>
        <w:pStyle w:val="BodyCopy"/>
        <w:numPr>
          <w:ilvl w:val="0"/>
          <w:numId w:val="16"/>
        </w:numPr>
        <w:rPr>
          <w:color w:val="auto"/>
        </w:rPr>
      </w:pPr>
      <w:r w:rsidRPr="00C570A2">
        <w:rPr>
          <w:color w:val="auto"/>
        </w:rPr>
        <w:t xml:space="preserve">Awards will be presented at the </w:t>
      </w:r>
      <w:r w:rsidR="00476756">
        <w:rPr>
          <w:color w:val="auto"/>
        </w:rPr>
        <w:t>Victorian Tennis Awards on Tuesday 19 October 2021</w:t>
      </w:r>
    </w:p>
    <w:p w14:paraId="115BFFC1" w14:textId="77777777" w:rsidR="00B31F13" w:rsidRDefault="00B31F13" w:rsidP="00E1753E">
      <w:pPr>
        <w:pStyle w:val="SubHeading"/>
        <w:rPr>
          <w:color w:val="1C4996"/>
        </w:rPr>
      </w:pPr>
    </w:p>
    <w:p w14:paraId="5382650B" w14:textId="47012101" w:rsidR="00E1753E" w:rsidRPr="00981DCF" w:rsidRDefault="00E1753E" w:rsidP="00E1753E">
      <w:pPr>
        <w:pStyle w:val="SubHeading"/>
        <w:rPr>
          <w:color w:val="1C4996"/>
        </w:rPr>
      </w:pPr>
      <w:r w:rsidRPr="00981DCF">
        <w:rPr>
          <w:color w:val="1C4996"/>
        </w:rPr>
        <w:lastRenderedPageBreak/>
        <w:t>Requirements of award recipients</w:t>
      </w:r>
    </w:p>
    <w:p w14:paraId="4C6B3063" w14:textId="77777777" w:rsidR="00E1753E" w:rsidRPr="00FC470C" w:rsidRDefault="00E1753E" w:rsidP="00E1753E">
      <w:pPr>
        <w:pStyle w:val="Subheadings"/>
        <w:jc w:val="both"/>
        <w:rPr>
          <w:sz w:val="16"/>
          <w:szCs w:val="16"/>
        </w:rPr>
      </w:pPr>
    </w:p>
    <w:p w14:paraId="4DF6359E" w14:textId="77777777" w:rsidR="001F56FA" w:rsidRPr="0082292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973DDAA" w14:textId="77777777" w:rsidR="001F56FA" w:rsidRPr="0082292A" w:rsidRDefault="001F56FA" w:rsidP="001F56FA">
      <w:pPr>
        <w:rPr>
          <w:rFonts w:ascii="Myriad Pro" w:hAnsi="Myriad Pro"/>
          <w:sz w:val="22"/>
          <w:szCs w:val="20"/>
          <w:lang w:val="en-US"/>
        </w:rPr>
      </w:pPr>
    </w:p>
    <w:p w14:paraId="6D0BB8D8" w14:textId="23843641" w:rsidR="001F56FA" w:rsidRDefault="001F56FA" w:rsidP="001F56FA">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F10A47">
        <w:rPr>
          <w:rFonts w:ascii="Myriad Pro" w:hAnsi="Myriad Pro"/>
          <w:sz w:val="22"/>
          <w:szCs w:val="20"/>
          <w:lang w:val="en-US"/>
        </w:rPr>
        <w:t>Volunteer Achievement</w:t>
      </w:r>
      <w:r w:rsidRPr="0082292A">
        <w:rPr>
          <w:rFonts w:ascii="Myriad Pro" w:hAnsi="Myriad Pro"/>
          <w:sz w:val="22"/>
          <w:szCs w:val="20"/>
          <w:lang w:val="en-US"/>
        </w:rPr>
        <w:t xml:space="preserve"> a</w:t>
      </w:r>
      <w:r>
        <w:rPr>
          <w:rFonts w:ascii="Myriad Pro" w:hAnsi="Myriad Pro"/>
          <w:sz w:val="22"/>
          <w:szCs w:val="20"/>
          <w:lang w:val="en-US"/>
        </w:rPr>
        <w:t>ward to be presented at the 20</w:t>
      </w:r>
      <w:r w:rsidR="00C570A2">
        <w:rPr>
          <w:rFonts w:ascii="Myriad Pro" w:hAnsi="Myriad Pro"/>
          <w:sz w:val="22"/>
          <w:szCs w:val="20"/>
          <w:lang w:val="en-US"/>
        </w:rPr>
        <w:t>21</w:t>
      </w:r>
      <w:r w:rsidRPr="0082292A">
        <w:rPr>
          <w:rFonts w:ascii="Myriad Pro" w:hAnsi="Myriad Pro"/>
          <w:sz w:val="22"/>
          <w:szCs w:val="20"/>
          <w:lang w:val="en-US"/>
        </w:rPr>
        <w:t xml:space="preserve"> Newcombe Medal. </w:t>
      </w:r>
    </w:p>
    <w:p w14:paraId="75BF1A7F" w14:textId="77777777" w:rsidR="001F56FA" w:rsidRDefault="001F56FA" w:rsidP="001F56FA">
      <w:pPr>
        <w:rPr>
          <w:rFonts w:ascii="Myriad Pro" w:hAnsi="Myriad Pro"/>
          <w:sz w:val="22"/>
          <w:szCs w:val="20"/>
          <w:lang w:val="en-US"/>
        </w:rPr>
      </w:pPr>
    </w:p>
    <w:p w14:paraId="3F6866DC" w14:textId="77777777" w:rsidR="001F56FA" w:rsidRPr="0082292A" w:rsidRDefault="001F56FA" w:rsidP="001F56FA">
      <w:pPr>
        <w:rPr>
          <w:rFonts w:ascii="Myriad Pro" w:hAnsi="Myriad Pro"/>
          <w:sz w:val="22"/>
          <w:szCs w:val="20"/>
          <w:lang w:val="en-US"/>
        </w:rPr>
      </w:pPr>
      <w:r>
        <w:rPr>
          <w:rFonts w:ascii="Myriad Pro" w:hAnsi="Myriad Pro"/>
          <w:sz w:val="22"/>
          <w:szCs w:val="20"/>
          <w:lang w:val="en-US"/>
        </w:rPr>
        <w:t>Upon reasonable request, the national winner may be required to prepare an article for the Australian Tennis Magazine with editorial assistance from Tennis Australia.</w:t>
      </w:r>
    </w:p>
    <w:p w14:paraId="393FF1B5" w14:textId="77777777" w:rsidR="00723769" w:rsidRPr="0082292A" w:rsidRDefault="00723769" w:rsidP="00723769">
      <w:pPr>
        <w:rPr>
          <w:rFonts w:ascii="Myriad Pro" w:hAnsi="Myriad Pro"/>
          <w:sz w:val="22"/>
          <w:szCs w:val="20"/>
          <w:lang w:val="en-US"/>
        </w:rPr>
      </w:pPr>
    </w:p>
    <w:p w14:paraId="1340EE26" w14:textId="767FB007" w:rsidR="00BF7593" w:rsidRPr="00FC470C" w:rsidRDefault="00476756" w:rsidP="00BF7593">
      <w:pPr>
        <w:pStyle w:val="Subheadings"/>
        <w:jc w:val="both"/>
        <w:rPr>
          <w:sz w:val="16"/>
          <w:szCs w:val="16"/>
        </w:rPr>
      </w:pPr>
      <w:r w:rsidRPr="00476756">
        <w:rPr>
          <w:b w:val="0"/>
          <w:i w:val="0"/>
          <w:color w:val="auto"/>
          <w:sz w:val="22"/>
          <w:szCs w:val="24"/>
          <w:lang w:val="en-AU"/>
        </w:rPr>
        <w:t>Finalists will be entitled to two (2) free of charge tickets to attend the event. Further tickets will be available for purchase subject to capacity.</w:t>
      </w:r>
    </w:p>
    <w:p w14:paraId="6E3A47C5" w14:textId="77777777" w:rsidR="00704669" w:rsidRDefault="00261FA3" w:rsidP="00704669">
      <w:pPr>
        <w:autoSpaceDE w:val="0"/>
        <w:autoSpaceDN w:val="0"/>
        <w:adjustRightInd w:val="0"/>
      </w:pPr>
      <w:r>
        <w:br w:type="page"/>
      </w:r>
    </w:p>
    <w:p w14:paraId="2CCA35AB" w14:textId="77777777" w:rsidR="00704669" w:rsidRDefault="00704669" w:rsidP="00704669">
      <w:pPr>
        <w:autoSpaceDE w:val="0"/>
        <w:autoSpaceDN w:val="0"/>
        <w:adjustRightInd w:val="0"/>
      </w:pPr>
    </w:p>
    <w:p w14:paraId="7BEBF406" w14:textId="5E66E774" w:rsidR="009520D7" w:rsidRPr="00704669" w:rsidRDefault="00704669" w:rsidP="00704669">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3BBE219B" w:rsidR="00E7385D" w:rsidRDefault="001F3FF8" w:rsidP="00785827">
            <w:pPr>
              <w:rPr>
                <w:rFonts w:ascii="Myriad Pro" w:hAnsi="Myriad Pro"/>
                <w:color w:val="5F5F5F"/>
                <w:szCs w:val="20"/>
                <w:lang w:val="en-US"/>
              </w:rPr>
            </w:pPr>
            <w:r>
              <w:rPr>
                <w:rFonts w:ascii="Myriad Pro" w:hAnsi="Myriad Pro"/>
                <w:szCs w:val="20"/>
              </w:rPr>
              <w:t>The leadership qualities shown in continuing to grow the club or facilitate successful change</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B364EC7" w14:textId="082B99B9" w:rsidR="00E7385D" w:rsidRDefault="00E7385D" w:rsidP="00785827">
            <w:pPr>
              <w:rPr>
                <w:rFonts w:ascii="Myriad Pro" w:hAnsi="Myriad Pro"/>
                <w:color w:val="5F5F5F"/>
                <w:szCs w:val="20"/>
                <w:lang w:val="en-US"/>
              </w:rPr>
            </w:pPr>
          </w:p>
          <w:p w14:paraId="0BB4F087" w14:textId="0C6580CF" w:rsidR="00E7385D" w:rsidRDefault="00E7385D" w:rsidP="00785827">
            <w:pPr>
              <w:rPr>
                <w:rFonts w:ascii="Myriad Pro" w:hAnsi="Myriad Pro"/>
                <w:color w:val="5F5F5F"/>
                <w:szCs w:val="20"/>
                <w:lang w:val="en-US"/>
              </w:rPr>
            </w:pPr>
          </w:p>
          <w:p w14:paraId="2D0B3D9F" w14:textId="77777777" w:rsidR="0090019F" w:rsidRDefault="0090019F" w:rsidP="00785827">
            <w:pPr>
              <w:rPr>
                <w:rFonts w:ascii="Myriad Pro" w:hAnsi="Myriad Pro"/>
                <w:color w:val="5F5F5F"/>
                <w:szCs w:val="20"/>
                <w:lang w:val="en-US"/>
              </w:rPr>
            </w:pPr>
          </w:p>
          <w:p w14:paraId="7E47AC40" w14:textId="245D5E8B" w:rsidR="00E7385D" w:rsidRDefault="00E7385D"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6238D4E8" w:rsidR="00E7385D" w:rsidRPr="0090019F" w:rsidRDefault="0090019F" w:rsidP="00785827">
            <w:pPr>
              <w:rPr>
                <w:rFonts w:ascii="Myriad Pro" w:hAnsi="Myriad Pro"/>
                <w:szCs w:val="20"/>
                <w:lang w:val="en-US"/>
              </w:rPr>
            </w:pPr>
            <w:r w:rsidRPr="0090019F">
              <w:rPr>
                <w:rFonts w:ascii="Myriad Pro" w:hAnsi="Myriad Pro"/>
                <w:szCs w:val="20"/>
                <w:lang w:val="en-US"/>
              </w:rPr>
              <w:t>The lead</w:t>
            </w:r>
            <w:r>
              <w:rPr>
                <w:rFonts w:ascii="Myriad Pro" w:hAnsi="Myriad Pro"/>
                <w:szCs w:val="20"/>
                <w:lang w:val="en-US"/>
              </w:rPr>
              <w:t>ership qualities shown in building and / or maintaining facilities and / or operating procedures</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0BA3462" w14:textId="3117753F" w:rsidR="00E7385D" w:rsidRPr="0090019F" w:rsidRDefault="00E7385D" w:rsidP="00785827">
            <w:pPr>
              <w:rPr>
                <w:rFonts w:ascii="Myriad Pro" w:hAnsi="Myriad Pro"/>
                <w:szCs w:val="20"/>
                <w:lang w:val="en-US"/>
              </w:rPr>
            </w:pPr>
          </w:p>
          <w:p w14:paraId="6BF9B29F" w14:textId="03FAB97E" w:rsidR="00E7385D" w:rsidRDefault="00E7385D" w:rsidP="00785827">
            <w:pPr>
              <w:rPr>
                <w:rFonts w:ascii="Myriad Pro" w:hAnsi="Myriad Pro"/>
                <w:szCs w:val="20"/>
                <w:lang w:val="en-US"/>
              </w:rPr>
            </w:pPr>
          </w:p>
          <w:p w14:paraId="44AAB857" w14:textId="77777777" w:rsidR="0090019F" w:rsidRPr="0090019F" w:rsidRDefault="0090019F" w:rsidP="00785827">
            <w:pPr>
              <w:rPr>
                <w:rFonts w:ascii="Myriad Pro" w:hAnsi="Myriad Pro"/>
                <w:szCs w:val="20"/>
                <w:lang w:val="en-US"/>
              </w:rPr>
            </w:pPr>
          </w:p>
          <w:p w14:paraId="37FEE20D" w14:textId="58585B7A" w:rsidR="00E7385D" w:rsidRPr="0090019F" w:rsidRDefault="00E7385D"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6E44EEB8" w:rsidR="00E7385D" w:rsidRPr="0090019F" w:rsidRDefault="0090019F" w:rsidP="00785827">
            <w:pPr>
              <w:rPr>
                <w:rFonts w:ascii="Myriad Pro" w:hAnsi="Myriad Pro"/>
                <w:szCs w:val="20"/>
                <w:lang w:val="en-US"/>
              </w:rPr>
            </w:pPr>
            <w:r>
              <w:rPr>
                <w:rFonts w:ascii="Myriad Pro" w:hAnsi="Myriad Pro"/>
                <w:szCs w:val="20"/>
                <w:lang w:val="en-US"/>
              </w:rPr>
              <w:t>The impact of time spent both short term and long term and how that benefits the club, community and the sport</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8CE698C" w14:textId="77777777" w:rsidR="00E7385D" w:rsidRPr="0090019F" w:rsidRDefault="00E7385D" w:rsidP="00785827">
            <w:pPr>
              <w:rPr>
                <w:rFonts w:ascii="Myriad Pro" w:hAnsi="Myriad Pro"/>
                <w:szCs w:val="20"/>
                <w:lang w:val="en-US"/>
              </w:rPr>
            </w:pPr>
          </w:p>
          <w:p w14:paraId="0DCB1AD6" w14:textId="700D4531" w:rsidR="00E7385D" w:rsidRDefault="00E7385D" w:rsidP="00785827">
            <w:pPr>
              <w:rPr>
                <w:rFonts w:ascii="Myriad Pro" w:hAnsi="Myriad Pro"/>
                <w:szCs w:val="20"/>
                <w:lang w:val="en-US"/>
              </w:rPr>
            </w:pPr>
          </w:p>
          <w:p w14:paraId="4824694D" w14:textId="77777777" w:rsidR="0090019F" w:rsidRPr="0090019F" w:rsidRDefault="0090019F" w:rsidP="00785827">
            <w:pPr>
              <w:rPr>
                <w:rFonts w:ascii="Myriad Pro" w:hAnsi="Myriad Pro"/>
                <w:szCs w:val="20"/>
                <w:lang w:val="en-US"/>
              </w:rPr>
            </w:pPr>
          </w:p>
          <w:p w14:paraId="48F4BD12" w14:textId="5B956832" w:rsidR="00E7385D" w:rsidRPr="0090019F" w:rsidRDefault="00E7385D"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37D20144" w:rsidR="00E7385D" w:rsidRPr="0090019F" w:rsidRDefault="0090019F" w:rsidP="00785827">
            <w:pPr>
              <w:rPr>
                <w:rFonts w:ascii="Myriad Pro" w:hAnsi="Myriad Pro"/>
                <w:szCs w:val="20"/>
                <w:lang w:val="en-US"/>
              </w:rPr>
            </w:pPr>
            <w:r>
              <w:rPr>
                <w:rFonts w:ascii="Myriad Pro" w:hAnsi="Myriad Pro"/>
                <w:szCs w:val="20"/>
                <w:lang w:val="en-US"/>
              </w:rPr>
              <w:t>Evidence of fostered relationships within and between the club / association and the community</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08F394D" w14:textId="43EAB563" w:rsidR="00E7385D" w:rsidRDefault="00E7385D" w:rsidP="00785827">
            <w:pPr>
              <w:rPr>
                <w:rFonts w:ascii="Myriad Pro" w:hAnsi="Myriad Pro"/>
                <w:szCs w:val="20"/>
                <w:lang w:val="en-US"/>
              </w:rPr>
            </w:pPr>
          </w:p>
          <w:p w14:paraId="1E3D6678" w14:textId="77777777" w:rsidR="0090019F" w:rsidRPr="0090019F" w:rsidRDefault="0090019F" w:rsidP="00785827">
            <w:pPr>
              <w:rPr>
                <w:rFonts w:ascii="Myriad Pro" w:hAnsi="Myriad Pro"/>
                <w:szCs w:val="20"/>
                <w:lang w:val="en-US"/>
              </w:rPr>
            </w:pPr>
          </w:p>
          <w:p w14:paraId="353BCAEE" w14:textId="77777777" w:rsidR="00E7385D" w:rsidRPr="0090019F" w:rsidRDefault="00E7385D" w:rsidP="00785827">
            <w:pPr>
              <w:rPr>
                <w:rFonts w:ascii="Myriad Pro" w:hAnsi="Myriad Pro"/>
                <w:szCs w:val="20"/>
                <w:lang w:val="en-US"/>
              </w:rPr>
            </w:pPr>
          </w:p>
          <w:p w14:paraId="67BBB4CD" w14:textId="7907A46C" w:rsidR="00E7385D" w:rsidRPr="0090019F" w:rsidRDefault="00E7385D"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12E38D59" w:rsidR="0090019F" w:rsidRPr="0090019F" w:rsidRDefault="0090019F" w:rsidP="0090019F">
            <w:pPr>
              <w:rPr>
                <w:rFonts w:ascii="Myriad Pro" w:hAnsi="Myriad Pro"/>
                <w:szCs w:val="20"/>
                <w:lang w:val="en-US"/>
              </w:rPr>
            </w:pPr>
            <w:r w:rsidRPr="0090019F">
              <w:rPr>
                <w:rFonts w:ascii="Myriad Pro" w:hAnsi="Myriad Pro"/>
              </w:rPr>
              <w:t>The contribution to making Tennis inclusive for diverse communities (</w:t>
            </w:r>
            <w:proofErr w:type="spellStart"/>
            <w:r w:rsidRPr="0090019F">
              <w:rPr>
                <w:rFonts w:ascii="Myriad Pro" w:hAnsi="Myriad Pro"/>
              </w:rPr>
              <w:t>ie</w:t>
            </w:r>
            <w:proofErr w:type="spellEnd"/>
            <w:r w:rsidRPr="0090019F">
              <w:rPr>
                <w:rFonts w:ascii="Myriad Pro" w:hAnsi="Myriad Pro"/>
              </w:rPr>
              <w:t>. people with a disability, multicultural communities, Indigenous Australians, people who identify as LGBTI, low socio-economic communities.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8A7FB9A" w14:textId="77777777" w:rsidR="0090019F" w:rsidRPr="0090019F" w:rsidRDefault="0090019F" w:rsidP="0090019F">
            <w:pPr>
              <w:rPr>
                <w:rFonts w:ascii="Myriad Pro" w:hAnsi="Myriad Pro"/>
                <w:szCs w:val="20"/>
                <w:lang w:val="en-US"/>
              </w:rPr>
            </w:pPr>
          </w:p>
          <w:p w14:paraId="7D2E868B" w14:textId="1B63D027" w:rsidR="0090019F" w:rsidRDefault="0090019F" w:rsidP="0090019F">
            <w:pPr>
              <w:rPr>
                <w:rFonts w:ascii="Myriad Pro" w:hAnsi="Myriad Pro"/>
                <w:szCs w:val="20"/>
                <w:lang w:val="en-US"/>
              </w:rPr>
            </w:pPr>
          </w:p>
          <w:p w14:paraId="5F3517E5" w14:textId="77777777" w:rsidR="0090019F" w:rsidRPr="0090019F" w:rsidRDefault="0090019F" w:rsidP="0090019F">
            <w:pPr>
              <w:rPr>
                <w:rFonts w:ascii="Myriad Pro" w:hAnsi="Myriad Pro"/>
                <w:szCs w:val="20"/>
                <w:lang w:val="en-US"/>
              </w:rPr>
            </w:pPr>
          </w:p>
          <w:p w14:paraId="3BFBEDF4" w14:textId="24982E22" w:rsidR="0090019F" w:rsidRPr="0090019F" w:rsidRDefault="0090019F" w:rsidP="0090019F">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21412B46" w14:textId="4938C587" w:rsidR="0090019F" w:rsidRPr="0090019F" w:rsidRDefault="0090019F" w:rsidP="0090019F">
            <w:pPr>
              <w:rPr>
                <w:rFonts w:ascii="Myriad Pro" w:hAnsi="Myriad Pro"/>
                <w:szCs w:val="20"/>
                <w:lang w:val="en-US"/>
              </w:rPr>
            </w:pPr>
            <w:r w:rsidRPr="0090019F">
              <w:rPr>
                <w:rFonts w:ascii="Myriad Pro" w:hAnsi="Myriad Pro"/>
              </w:rPr>
              <w:t>Have made a considerable contribution to the sport, specifically in the area of delivering more active players</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F5958CD" w14:textId="77777777" w:rsidR="0090019F" w:rsidRPr="0090019F" w:rsidRDefault="0090019F" w:rsidP="0090019F">
            <w:pPr>
              <w:rPr>
                <w:rFonts w:ascii="Myriad Pro" w:hAnsi="Myriad Pro"/>
                <w:szCs w:val="20"/>
                <w:lang w:val="en-US"/>
              </w:rPr>
            </w:pPr>
          </w:p>
          <w:p w14:paraId="49ADC048" w14:textId="19AA9724" w:rsidR="0090019F" w:rsidRDefault="0090019F" w:rsidP="0090019F">
            <w:pPr>
              <w:rPr>
                <w:rFonts w:ascii="Myriad Pro" w:hAnsi="Myriad Pro"/>
                <w:szCs w:val="20"/>
                <w:lang w:val="en-US"/>
              </w:rPr>
            </w:pPr>
          </w:p>
          <w:p w14:paraId="4074FE0B" w14:textId="77777777" w:rsidR="0090019F" w:rsidRPr="0090019F" w:rsidRDefault="0090019F" w:rsidP="0090019F">
            <w:pPr>
              <w:rPr>
                <w:rFonts w:ascii="Myriad Pro" w:hAnsi="Myriad Pro"/>
                <w:szCs w:val="20"/>
                <w:lang w:val="en-US"/>
              </w:rPr>
            </w:pPr>
          </w:p>
          <w:p w14:paraId="02F56821" w14:textId="5D45612C" w:rsidR="0090019F" w:rsidRPr="0090019F" w:rsidRDefault="0090019F" w:rsidP="0090019F">
            <w:pPr>
              <w:rPr>
                <w:rFonts w:ascii="Myriad Pro" w:hAnsi="Myriad Pro"/>
                <w:szCs w:val="20"/>
                <w:lang w:val="en-US"/>
              </w:rPr>
            </w:pPr>
          </w:p>
        </w:tc>
      </w:tr>
      <w:tr w:rsidR="0090019F" w14:paraId="41CBD68A"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58553EC9" w:rsidR="0090019F" w:rsidRPr="00E7385D" w:rsidRDefault="0090019F" w:rsidP="0090019F">
            <w:pPr>
              <w:jc w:val="center"/>
              <w:rPr>
                <w:rFonts w:ascii="Myriad Pro" w:hAnsi="Myriad Pro"/>
                <w:szCs w:val="20"/>
                <w:lang w:val="en-US"/>
              </w:rPr>
            </w:pPr>
            <w:r w:rsidRPr="00E7385D">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6E4E02BC" w14:textId="149B2C3E" w:rsidR="0090019F" w:rsidRPr="0090019F" w:rsidRDefault="0090019F" w:rsidP="0090019F">
            <w:pPr>
              <w:rPr>
                <w:rFonts w:ascii="Myriad Pro" w:hAnsi="Myriad Pro"/>
                <w:szCs w:val="20"/>
                <w:lang w:val="en-US"/>
              </w:rPr>
            </w:pPr>
            <w:r w:rsidRPr="0090019F">
              <w:rPr>
                <w:rFonts w:ascii="Myriad Pro" w:hAnsi="Myriad Pro"/>
              </w:rPr>
              <w:t xml:space="preserve">Have demonstrated significant achievement while in the roles held within the club / association </w:t>
            </w:r>
          </w:p>
        </w:tc>
      </w:tr>
      <w:tr w:rsidR="0090019F" w14:paraId="04CAD4B2"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93A0CF9" w14:textId="77777777" w:rsidR="0090019F" w:rsidRPr="0090019F" w:rsidRDefault="0090019F" w:rsidP="0090019F">
            <w:pPr>
              <w:rPr>
                <w:rFonts w:ascii="Myriad Pro" w:hAnsi="Myriad Pro"/>
                <w:szCs w:val="20"/>
                <w:lang w:val="en-US"/>
              </w:rPr>
            </w:pPr>
          </w:p>
          <w:p w14:paraId="59DDD35C" w14:textId="77777777" w:rsidR="0090019F" w:rsidRPr="0090019F" w:rsidRDefault="0090019F" w:rsidP="0090019F">
            <w:pPr>
              <w:rPr>
                <w:rFonts w:ascii="Myriad Pro" w:hAnsi="Myriad Pro"/>
                <w:szCs w:val="20"/>
                <w:lang w:val="en-US"/>
              </w:rPr>
            </w:pPr>
          </w:p>
          <w:p w14:paraId="07B3AA36" w14:textId="77777777" w:rsidR="0090019F" w:rsidRDefault="0090019F" w:rsidP="0090019F">
            <w:pPr>
              <w:rPr>
                <w:rFonts w:ascii="Myriad Pro" w:hAnsi="Myriad Pro"/>
                <w:szCs w:val="20"/>
                <w:lang w:val="en-US"/>
              </w:rPr>
            </w:pPr>
          </w:p>
          <w:p w14:paraId="4108AC67" w14:textId="5D7C6175" w:rsidR="0090019F" w:rsidRPr="0090019F" w:rsidRDefault="0090019F" w:rsidP="0090019F">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37608FC1" w:rsidR="006235FF" w:rsidRDefault="0074065D" w:rsidP="00C031A9">
            <w:pPr>
              <w:pStyle w:val="BodyCopy"/>
            </w:pPr>
            <w:r>
              <w:t>20</w:t>
            </w:r>
            <w:r w:rsidR="00C570A2">
              <w:t>21</w:t>
            </w:r>
            <w:r w:rsidR="00E33A2C">
              <w:t xml:space="preserve"> </w:t>
            </w:r>
            <w:r w:rsidR="006235FF">
              <w:t xml:space="preserve">Victorian Tennis Awards – </w:t>
            </w:r>
            <w:r w:rsidR="00C61DF2">
              <w:t>Volunteer Achievement Award</w:t>
            </w:r>
            <w:r w:rsidR="00C031A9">
              <w:t xml:space="preserve"> </w:t>
            </w:r>
            <w:r w:rsidR="00C031A9">
              <w:tab/>
            </w:r>
            <w:r w:rsidR="00C031A9">
              <w:tab/>
            </w:r>
            <w:r w:rsidR="00C031A9">
              <w:tab/>
            </w:r>
            <w:r w:rsidR="00C031A9">
              <w:tab/>
            </w:r>
            <w:r w:rsidR="00C031A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7077D9">
              <w:rPr>
                <w:noProof/>
              </w:rPr>
              <w:t>2</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7077D9">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22B12DFF" w:rsidR="00785827" w:rsidRDefault="00A65E91">
    <w:pPr>
      <w:pStyle w:val="Header"/>
    </w:pPr>
    <w:r>
      <w:rPr>
        <w:noProof/>
      </w:rPr>
      <w:drawing>
        <wp:inline distT="0" distB="0" distL="0" distR="0" wp14:anchorId="023E5733" wp14:editId="0BCB3FC3">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621AD"/>
    <w:multiLevelType w:val="hybridMultilevel"/>
    <w:tmpl w:val="6A9EB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5"/>
  </w:num>
  <w:num w:numId="5">
    <w:abstractNumId w:val="4"/>
  </w:num>
  <w:num w:numId="6">
    <w:abstractNumId w:val="13"/>
  </w:num>
  <w:num w:numId="7">
    <w:abstractNumId w:val="3"/>
  </w:num>
  <w:num w:numId="8">
    <w:abstractNumId w:val="11"/>
  </w:num>
  <w:num w:numId="9">
    <w:abstractNumId w:val="8"/>
  </w:num>
  <w:num w:numId="10">
    <w:abstractNumId w:val="10"/>
  </w:num>
  <w:num w:numId="11">
    <w:abstractNumId w:val="7"/>
  </w:num>
  <w:num w:numId="12">
    <w:abstractNumId w:val="6"/>
  </w:num>
  <w:num w:numId="13">
    <w:abstractNumId w:val="14"/>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87"/>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61FA3"/>
    <w:rsid w:val="00286C31"/>
    <w:rsid w:val="00292507"/>
    <w:rsid w:val="002A707E"/>
    <w:rsid w:val="002D0D13"/>
    <w:rsid w:val="00320C6E"/>
    <w:rsid w:val="0032622F"/>
    <w:rsid w:val="0037570A"/>
    <w:rsid w:val="00382BC5"/>
    <w:rsid w:val="003946EC"/>
    <w:rsid w:val="00394788"/>
    <w:rsid w:val="003C0D92"/>
    <w:rsid w:val="003C4A52"/>
    <w:rsid w:val="003E3737"/>
    <w:rsid w:val="0040334E"/>
    <w:rsid w:val="00454DCF"/>
    <w:rsid w:val="00464A32"/>
    <w:rsid w:val="00476756"/>
    <w:rsid w:val="004956B4"/>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32B1"/>
    <w:rsid w:val="006743BE"/>
    <w:rsid w:val="006806EE"/>
    <w:rsid w:val="00686A8B"/>
    <w:rsid w:val="006E3048"/>
    <w:rsid w:val="00704669"/>
    <w:rsid w:val="007077D9"/>
    <w:rsid w:val="00710E8A"/>
    <w:rsid w:val="00723769"/>
    <w:rsid w:val="007248D4"/>
    <w:rsid w:val="00725810"/>
    <w:rsid w:val="0074065D"/>
    <w:rsid w:val="00754370"/>
    <w:rsid w:val="007643BD"/>
    <w:rsid w:val="00771C29"/>
    <w:rsid w:val="007766FE"/>
    <w:rsid w:val="00785827"/>
    <w:rsid w:val="007D75E1"/>
    <w:rsid w:val="0081152F"/>
    <w:rsid w:val="00855EA4"/>
    <w:rsid w:val="00893887"/>
    <w:rsid w:val="008A1F0D"/>
    <w:rsid w:val="008B2CA6"/>
    <w:rsid w:val="008B5B1B"/>
    <w:rsid w:val="0090019F"/>
    <w:rsid w:val="00900739"/>
    <w:rsid w:val="00907CC3"/>
    <w:rsid w:val="0091311D"/>
    <w:rsid w:val="00917856"/>
    <w:rsid w:val="0093022B"/>
    <w:rsid w:val="009452A3"/>
    <w:rsid w:val="009520D7"/>
    <w:rsid w:val="0095453B"/>
    <w:rsid w:val="009704C9"/>
    <w:rsid w:val="009D2365"/>
    <w:rsid w:val="00A07252"/>
    <w:rsid w:val="00A17F19"/>
    <w:rsid w:val="00A23ABA"/>
    <w:rsid w:val="00A252EB"/>
    <w:rsid w:val="00A65E91"/>
    <w:rsid w:val="00AF28F0"/>
    <w:rsid w:val="00AF48E9"/>
    <w:rsid w:val="00B12BFC"/>
    <w:rsid w:val="00B24F20"/>
    <w:rsid w:val="00B31F13"/>
    <w:rsid w:val="00B579B0"/>
    <w:rsid w:val="00B7069C"/>
    <w:rsid w:val="00B90637"/>
    <w:rsid w:val="00BA240E"/>
    <w:rsid w:val="00BC4B40"/>
    <w:rsid w:val="00BD3E21"/>
    <w:rsid w:val="00BD67A9"/>
    <w:rsid w:val="00BF352B"/>
    <w:rsid w:val="00BF7593"/>
    <w:rsid w:val="00C031A9"/>
    <w:rsid w:val="00C207A4"/>
    <w:rsid w:val="00C2448F"/>
    <w:rsid w:val="00C570A2"/>
    <w:rsid w:val="00C61DF2"/>
    <w:rsid w:val="00C67CF4"/>
    <w:rsid w:val="00C715AF"/>
    <w:rsid w:val="00C8641A"/>
    <w:rsid w:val="00CC04DD"/>
    <w:rsid w:val="00CC16FC"/>
    <w:rsid w:val="00CC2E06"/>
    <w:rsid w:val="00D31015"/>
    <w:rsid w:val="00D32882"/>
    <w:rsid w:val="00D40E53"/>
    <w:rsid w:val="00D45366"/>
    <w:rsid w:val="00D86B90"/>
    <w:rsid w:val="00DB7B92"/>
    <w:rsid w:val="00DD5DF4"/>
    <w:rsid w:val="00DD7B74"/>
    <w:rsid w:val="00DF7ECC"/>
    <w:rsid w:val="00E11455"/>
    <w:rsid w:val="00E1753E"/>
    <w:rsid w:val="00E33A2C"/>
    <w:rsid w:val="00E46C01"/>
    <w:rsid w:val="00E7385D"/>
    <w:rsid w:val="00EA1190"/>
    <w:rsid w:val="00EE2B61"/>
    <w:rsid w:val="00EE30F5"/>
    <w:rsid w:val="00F10A47"/>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75DF-01D7-4FE7-93F1-8B2E505C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4667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4</cp:revision>
  <cp:lastPrinted>2019-07-09T05:59:00Z</cp:lastPrinted>
  <dcterms:created xsi:type="dcterms:W3CDTF">2021-07-27T00:33:00Z</dcterms:created>
  <dcterms:modified xsi:type="dcterms:W3CDTF">2021-08-03T07:30:00Z</dcterms:modified>
  <cp:category/>
</cp:coreProperties>
</file>