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77777777" w:rsidR="00785827" w:rsidRDefault="00785827" w:rsidP="00907CC3">
      <w:pPr>
        <w:ind w:left="-90"/>
        <w:rPr>
          <w:rFonts w:ascii="Myriad Pro" w:hAnsi="Myriad Pro"/>
          <w:b/>
          <w:bCs/>
        </w:rPr>
      </w:pPr>
    </w:p>
    <w:p w14:paraId="40FF3694" w14:textId="5A398C95" w:rsidR="00EA1190" w:rsidRPr="008B2CA6" w:rsidRDefault="008B145C" w:rsidP="00EA1190">
      <w:pPr>
        <w:ind w:left="-90"/>
        <w:jc w:val="center"/>
        <w:rPr>
          <w:rFonts w:ascii="Myriad Pro" w:hAnsi="Myriad Pro"/>
          <w:b/>
          <w:bCs/>
          <w:i/>
          <w:color w:val="1C4996"/>
          <w:sz w:val="32"/>
        </w:rPr>
      </w:pPr>
      <w:r>
        <w:rPr>
          <w:rFonts w:ascii="Myriad Pro" w:hAnsi="Myriad Pro"/>
          <w:b/>
          <w:bCs/>
          <w:i/>
          <w:color w:val="1C4996"/>
          <w:sz w:val="32"/>
        </w:rPr>
        <w:t>Most Outstanding Tournament</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65A9482B" w14:textId="6CD30B9D" w:rsidR="008B145C" w:rsidRDefault="008B145C" w:rsidP="008B145C">
      <w:pPr>
        <w:pStyle w:val="SubHeading"/>
        <w:rPr>
          <w:b w:val="0"/>
          <w:i w:val="0"/>
          <w:color w:val="auto"/>
          <w:sz w:val="22"/>
          <w:szCs w:val="20"/>
        </w:rPr>
      </w:pPr>
      <w:r w:rsidRPr="008B145C">
        <w:rPr>
          <w:b w:val="0"/>
          <w:i w:val="0"/>
          <w:color w:val="auto"/>
          <w:sz w:val="22"/>
          <w:szCs w:val="20"/>
        </w:rPr>
        <w:t xml:space="preserve">To be eligible for consideration for the Most Outstanding Tournament, the tournament must show that it: </w:t>
      </w:r>
    </w:p>
    <w:p w14:paraId="77717DEB" w14:textId="77777777" w:rsidR="00A3443C" w:rsidRDefault="00A3443C" w:rsidP="008B145C">
      <w:pPr>
        <w:pStyle w:val="SubHeading"/>
        <w:rPr>
          <w:b w:val="0"/>
          <w:i w:val="0"/>
          <w:color w:val="auto"/>
          <w:sz w:val="22"/>
          <w:szCs w:val="20"/>
        </w:rPr>
      </w:pPr>
    </w:p>
    <w:p w14:paraId="3EBE0F41" w14:textId="36BF5EB1"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Is an Australian Money Tournament, Australian Junior Tour event, Australian I</w:t>
      </w:r>
      <w:r w:rsidR="00A3443C">
        <w:rPr>
          <w:b w:val="0"/>
          <w:i w:val="0"/>
          <w:color w:val="auto"/>
          <w:sz w:val="22"/>
          <w:szCs w:val="20"/>
        </w:rPr>
        <w:t xml:space="preserve">TF Junior event, ITF Seniors, </w:t>
      </w:r>
      <w:r w:rsidRPr="008B145C">
        <w:rPr>
          <w:b w:val="0"/>
          <w:i w:val="0"/>
          <w:color w:val="auto"/>
          <w:sz w:val="22"/>
          <w:szCs w:val="20"/>
        </w:rPr>
        <w:t xml:space="preserve">Australian Wheelchair Tournament </w:t>
      </w:r>
      <w:r w:rsidR="00A3443C">
        <w:rPr>
          <w:b w:val="0"/>
          <w:i w:val="0"/>
          <w:color w:val="auto"/>
          <w:sz w:val="22"/>
          <w:szCs w:val="20"/>
        </w:rPr>
        <w:t>or General Category Tournament.</w:t>
      </w:r>
    </w:p>
    <w:p w14:paraId="10455C78" w14:textId="5763FCFE"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Held the final day of the tournament between the award period</w:t>
      </w:r>
    </w:p>
    <w:p w14:paraId="7F966DAB" w14:textId="036E6CA4" w:rsidR="008B145C" w:rsidRDefault="00C729E5" w:rsidP="008B145C">
      <w:pPr>
        <w:pStyle w:val="SubHeading"/>
        <w:numPr>
          <w:ilvl w:val="0"/>
          <w:numId w:val="16"/>
        </w:numPr>
        <w:rPr>
          <w:b w:val="0"/>
          <w:i w:val="0"/>
          <w:color w:val="auto"/>
          <w:sz w:val="22"/>
          <w:szCs w:val="20"/>
        </w:rPr>
      </w:pPr>
      <w:r>
        <w:rPr>
          <w:b w:val="0"/>
          <w:i w:val="0"/>
          <w:color w:val="auto"/>
          <w:sz w:val="22"/>
          <w:szCs w:val="20"/>
        </w:rPr>
        <w:t xml:space="preserve">Is delivered by or at a club/centre </w:t>
      </w:r>
      <w:r w:rsidR="008B145C" w:rsidRPr="008B145C">
        <w:rPr>
          <w:b w:val="0"/>
          <w:i w:val="0"/>
          <w:color w:val="auto"/>
          <w:sz w:val="22"/>
          <w:szCs w:val="20"/>
        </w:rPr>
        <w:t xml:space="preserve">affiliated with </w:t>
      </w:r>
      <w:r w:rsidR="0066491A">
        <w:rPr>
          <w:b w:val="0"/>
          <w:i w:val="0"/>
          <w:color w:val="auto"/>
          <w:sz w:val="22"/>
          <w:szCs w:val="20"/>
        </w:rPr>
        <w:t>Tennis Victoria</w:t>
      </w:r>
    </w:p>
    <w:p w14:paraId="14CF1A88" w14:textId="71B7465D"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Use a tournament software program and integrated online registration system in coordinating their tournament to ensure efficient administration </w:t>
      </w:r>
    </w:p>
    <w:p w14:paraId="2E38A74A" w14:textId="17B73678"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Has complied with all rules and regulations as set by Tennis Australia and </w:t>
      </w:r>
      <w:r w:rsidR="000F3388">
        <w:rPr>
          <w:b w:val="0"/>
          <w:i w:val="0"/>
          <w:color w:val="auto"/>
          <w:sz w:val="22"/>
          <w:szCs w:val="20"/>
        </w:rPr>
        <w:t>Tennis Victoria</w:t>
      </w:r>
      <w:r w:rsidRPr="008B145C">
        <w:rPr>
          <w:b w:val="0"/>
          <w:i w:val="0"/>
          <w:color w:val="auto"/>
          <w:sz w:val="22"/>
          <w:szCs w:val="20"/>
        </w:rPr>
        <w:t xml:space="preserve"> </w:t>
      </w:r>
    </w:p>
    <w:p w14:paraId="554F5BF4" w14:textId="50822B6C"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Has offered players a high-quality experience both on-and-off the court with activities, amenities to a high standard allowing for a positive tournament atmosphere</w:t>
      </w:r>
    </w:p>
    <w:p w14:paraId="5264E032" w14:textId="2BF84F24"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Obtained sponsorship for the tournament and implemented strategies to service these sponsors </w:t>
      </w:r>
    </w:p>
    <w:p w14:paraId="559C8204" w14:textId="7000E0D5"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Have a pro-active tournament committee; </w:t>
      </w:r>
    </w:p>
    <w:p w14:paraId="0579A7BF" w14:textId="6CBE3387" w:rsidR="00723769" w:rsidRPr="008B145C" w:rsidRDefault="008B145C" w:rsidP="008B145C">
      <w:pPr>
        <w:pStyle w:val="SubHeading"/>
        <w:numPr>
          <w:ilvl w:val="0"/>
          <w:numId w:val="16"/>
        </w:numPr>
        <w:rPr>
          <w:b w:val="0"/>
          <w:i w:val="0"/>
          <w:color w:val="auto"/>
          <w:sz w:val="22"/>
          <w:szCs w:val="20"/>
        </w:rPr>
      </w:pPr>
      <w:r w:rsidRPr="008B145C">
        <w:rPr>
          <w:b w:val="0"/>
          <w:i w:val="0"/>
          <w:color w:val="auto"/>
          <w:sz w:val="22"/>
          <w:szCs w:val="20"/>
        </w:rPr>
        <w:t>Fulfilled all officiating requirements or gone above to provide their own accredited officials.</w:t>
      </w:r>
    </w:p>
    <w:p w14:paraId="6E679F36" w14:textId="77777777" w:rsidR="008B145C" w:rsidRDefault="008B145C" w:rsidP="006235FF">
      <w:pPr>
        <w:pStyle w:val="SubHeading"/>
        <w:rPr>
          <w:color w:val="1C4996"/>
        </w:rPr>
      </w:pPr>
    </w:p>
    <w:p w14:paraId="3D7A6F1E" w14:textId="647EC565"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11D21F21" w:rsidR="009452A3" w:rsidRPr="0024120B" w:rsidRDefault="008B145C" w:rsidP="0074065D">
            <w:pPr>
              <w:pStyle w:val="BodyCopy"/>
              <w:rPr>
                <w:color w:val="auto"/>
              </w:rPr>
            </w:pPr>
            <w:r w:rsidRPr="008B145C">
              <w:rPr>
                <w:color w:val="auto"/>
              </w:rPr>
              <w:t xml:space="preserve">The overall quality of the event delivered, ensuring an outstanding experience for athletes, coaches, </w:t>
            </w:r>
            <w:r w:rsidR="00383B19">
              <w:rPr>
                <w:color w:val="auto"/>
              </w:rPr>
              <w:t>families</w:t>
            </w:r>
            <w:r w:rsidRPr="008B145C">
              <w:rPr>
                <w:color w:val="auto"/>
              </w:rPr>
              <w:t xml:space="preserve"> and officials</w:t>
            </w:r>
            <w:r w:rsidR="00941315">
              <w:rPr>
                <w:color w:val="auto"/>
              </w:rPr>
              <w:t xml:space="preserve"> including social activities and standard of amenities. </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1025AA2B" w:rsidR="009452A3" w:rsidRDefault="008B145C" w:rsidP="0074065D">
            <w:pPr>
              <w:pStyle w:val="BodyCopy"/>
              <w:rPr>
                <w:color w:val="auto"/>
              </w:rPr>
            </w:pPr>
            <w:r>
              <w:rPr>
                <w:color w:val="auto"/>
              </w:rPr>
              <w:t>T</w:t>
            </w:r>
            <w:r w:rsidRPr="008B145C">
              <w:rPr>
                <w:color w:val="auto"/>
              </w:rPr>
              <w:t>he type, volume and level of success of media and promotional activities undertaken</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51EDEBDB" w:rsidR="009452A3" w:rsidRPr="0024120B" w:rsidRDefault="00941315" w:rsidP="006235FF">
            <w:pPr>
              <w:pStyle w:val="BodyCopy"/>
              <w:rPr>
                <w:color w:val="auto"/>
              </w:rPr>
            </w:pPr>
            <w:r w:rsidRPr="00941315">
              <w:rPr>
                <w:color w:val="auto"/>
              </w:rPr>
              <w:t>Demonstrated socio economic benefit to the club and/or community.</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72EE8287" w:rsidR="009452A3" w:rsidRPr="00E1753E" w:rsidRDefault="008B145C" w:rsidP="0074065D">
            <w:pPr>
              <w:pStyle w:val="BodyCopy"/>
              <w:rPr>
                <w:color w:val="000000" w:themeColor="text1"/>
              </w:rPr>
            </w:pPr>
            <w:r>
              <w:rPr>
                <w:color w:val="000000" w:themeColor="text1"/>
              </w:rPr>
              <w:t>T</w:t>
            </w:r>
            <w:r w:rsidRPr="008B145C">
              <w:rPr>
                <w:color w:val="000000" w:themeColor="text1"/>
              </w:rPr>
              <w:t>he standard of the tournament sponsorship program and the level of service provided to the sponsors</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26903A39" w:rsidR="009452A3" w:rsidRPr="0024120B" w:rsidRDefault="008B145C" w:rsidP="006235FF">
            <w:pPr>
              <w:pStyle w:val="BodyCopy"/>
              <w:rPr>
                <w:color w:val="auto"/>
              </w:rPr>
            </w:pPr>
            <w:r>
              <w:rPr>
                <w:color w:val="auto"/>
              </w:rPr>
              <w:t>T</w:t>
            </w:r>
            <w:r w:rsidRPr="008B145C">
              <w:rPr>
                <w:color w:val="auto"/>
              </w:rPr>
              <w:t>he level of pro-activity shown by the tournament committee and the success of the pro-active actions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36853D43" w14:textId="2B5090C9" w:rsidR="00723769" w:rsidRPr="0024120B" w:rsidRDefault="008B145C" w:rsidP="0074065D">
            <w:pPr>
              <w:pStyle w:val="BodyCopy"/>
              <w:rPr>
                <w:color w:val="auto"/>
              </w:rPr>
            </w:pPr>
            <w:r w:rsidRPr="008B145C">
              <w:rPr>
                <w:color w:val="auto"/>
              </w:rPr>
              <w:t>Demonstrated commitment to quality customer service throughout the tournament, as well as leader</w:t>
            </w:r>
            <w:r>
              <w:rPr>
                <w:color w:val="auto"/>
              </w:rPr>
              <w:t>ship, innovation and creativity</w:t>
            </w:r>
          </w:p>
        </w:tc>
      </w:tr>
    </w:tbl>
    <w:p w14:paraId="4527FFB3" w14:textId="77777777" w:rsidR="006235FF" w:rsidRPr="0024120B" w:rsidRDefault="006235FF" w:rsidP="006235FF">
      <w:pPr>
        <w:rPr>
          <w:sz w:val="16"/>
          <w:szCs w:val="16"/>
        </w:rPr>
      </w:pPr>
    </w:p>
    <w:p w14:paraId="38DE2EDE" w14:textId="1DEE807B" w:rsidR="00E1753E" w:rsidRDefault="00E1753E" w:rsidP="00977AB0">
      <w:pPr>
        <w:pStyle w:val="BodyCopy"/>
        <w:rPr>
          <w:rFonts w:cs="Calibri"/>
          <w:szCs w:val="22"/>
        </w:rPr>
      </w:pPr>
      <w:r w:rsidRPr="002F37A1">
        <w:rPr>
          <w:rFonts w:cs="Helvetica"/>
          <w:b/>
          <w:color w:val="auto"/>
          <w:szCs w:val="22"/>
          <w:u w:val="single"/>
        </w:rPr>
        <w:t>All</w:t>
      </w:r>
      <w:r w:rsidR="0074065D">
        <w:rPr>
          <w:rFonts w:cs="Helvetica"/>
          <w:color w:val="auto"/>
          <w:szCs w:val="22"/>
        </w:rPr>
        <w:t xml:space="preserve"> nominations for the 20</w:t>
      </w:r>
      <w:r w:rsidR="00977AB0">
        <w:rPr>
          <w:rFonts w:cs="Helvetica"/>
          <w:color w:val="auto"/>
          <w:szCs w:val="22"/>
        </w:rPr>
        <w:t>21</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hyperlink r:id="rId8" w:history="1">
        <w:r w:rsidR="00977AB0">
          <w:rPr>
            <w:rStyle w:val="Hyperlink"/>
            <w:rFonts w:cs="Calibri"/>
            <w:szCs w:val="22"/>
          </w:rPr>
          <w:t xml:space="preserve">https://www.tennis.com.au/vic/news-and-events/victoriantennisawards/overview   </w:t>
        </w:r>
      </w:hyperlink>
    </w:p>
    <w:p w14:paraId="61C3B38A" w14:textId="77777777" w:rsidR="00977AB0" w:rsidRDefault="00977AB0" w:rsidP="00977AB0">
      <w:pPr>
        <w:pStyle w:val="BodyCopy"/>
        <w:rPr>
          <w:rFonts w:cs="Helvetica"/>
        </w:rPr>
      </w:pP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5AAD5EC7" w:rsidR="00E1753E" w:rsidRPr="002F37A1" w:rsidRDefault="00E1753E" w:rsidP="00E1753E">
      <w:pPr>
        <w:pStyle w:val="BodyCopy"/>
        <w:rPr>
          <w:color w:val="auto"/>
          <w:szCs w:val="22"/>
        </w:rPr>
      </w:pPr>
      <w:r w:rsidRPr="002F37A1">
        <w:rPr>
          <w:color w:val="auto"/>
          <w:szCs w:val="22"/>
        </w:rPr>
        <w:t>All decisions in relation to the 20</w:t>
      </w:r>
      <w:r w:rsidR="00977AB0">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6636F43C" w14:textId="3E2B9B64" w:rsidR="008B145C" w:rsidRDefault="008B145C" w:rsidP="00E1753E">
      <w:pPr>
        <w:pStyle w:val="SubHeading"/>
        <w:rPr>
          <w:color w:val="1C4996"/>
        </w:rPr>
      </w:pPr>
    </w:p>
    <w:p w14:paraId="29F51655" w14:textId="37A44545" w:rsidR="008B145C" w:rsidRDefault="008B145C" w:rsidP="00E1753E">
      <w:pPr>
        <w:pStyle w:val="SubHeading"/>
        <w:rPr>
          <w:color w:val="1C4996"/>
        </w:rPr>
      </w:pPr>
    </w:p>
    <w:p w14:paraId="34022968" w14:textId="77777777" w:rsidR="008B145C" w:rsidRDefault="008B145C" w:rsidP="00E1753E">
      <w:pPr>
        <w:pStyle w:val="SubHeading"/>
        <w:rPr>
          <w:color w:val="1C4996"/>
        </w:rPr>
      </w:pPr>
    </w:p>
    <w:p w14:paraId="353390E8" w14:textId="2B79441E"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093AD996" w14:textId="77777777" w:rsidR="00977AB0" w:rsidRPr="00977AB0" w:rsidRDefault="00977AB0" w:rsidP="00977AB0">
      <w:pPr>
        <w:pStyle w:val="BodyCopy"/>
        <w:numPr>
          <w:ilvl w:val="0"/>
          <w:numId w:val="18"/>
        </w:numPr>
        <w:rPr>
          <w:color w:val="auto"/>
        </w:rPr>
      </w:pPr>
      <w:r w:rsidRPr="00977AB0">
        <w:rPr>
          <w:color w:val="auto"/>
        </w:rPr>
        <w:t xml:space="preserve">The award period is 1 August 2019 – 31 August 2021 </w:t>
      </w:r>
    </w:p>
    <w:p w14:paraId="31BA0D9C" w14:textId="77777777" w:rsidR="00977AB0" w:rsidRPr="00977AB0" w:rsidRDefault="00977AB0" w:rsidP="00977AB0">
      <w:pPr>
        <w:pStyle w:val="BodyCopy"/>
        <w:numPr>
          <w:ilvl w:val="0"/>
          <w:numId w:val="18"/>
        </w:numPr>
        <w:rPr>
          <w:color w:val="auto"/>
        </w:rPr>
      </w:pPr>
      <w:r w:rsidRPr="00977AB0">
        <w:rPr>
          <w:color w:val="auto"/>
        </w:rPr>
        <w:t>Nominations Open – Thursday 5 August 2021</w:t>
      </w:r>
    </w:p>
    <w:p w14:paraId="49A8FA65" w14:textId="28B5962B" w:rsidR="00977AB0" w:rsidRPr="00977AB0" w:rsidRDefault="00977AB0" w:rsidP="00977AB0">
      <w:pPr>
        <w:pStyle w:val="BodyCopy"/>
        <w:numPr>
          <w:ilvl w:val="0"/>
          <w:numId w:val="18"/>
        </w:numPr>
        <w:rPr>
          <w:color w:val="auto"/>
        </w:rPr>
      </w:pPr>
      <w:r w:rsidRPr="00977AB0">
        <w:rPr>
          <w:color w:val="auto"/>
        </w:rPr>
        <w:t>Nominations Close – 1</w:t>
      </w:r>
      <w:r w:rsidR="00941315">
        <w:rPr>
          <w:color w:val="auto"/>
        </w:rPr>
        <w:t>1.59</w:t>
      </w:r>
      <w:r w:rsidRPr="00977AB0">
        <w:rPr>
          <w:color w:val="auto"/>
        </w:rPr>
        <w:t xml:space="preserve">pm on </w:t>
      </w:r>
      <w:r w:rsidR="00941315">
        <w:rPr>
          <w:color w:val="auto"/>
        </w:rPr>
        <w:t>Sunday</w:t>
      </w:r>
      <w:r w:rsidRPr="00977AB0">
        <w:rPr>
          <w:color w:val="auto"/>
        </w:rPr>
        <w:t xml:space="preserve"> 29 August 2021</w:t>
      </w:r>
    </w:p>
    <w:p w14:paraId="729AD263" w14:textId="77777777" w:rsidR="00977AB0" w:rsidRPr="00977AB0" w:rsidRDefault="00977AB0" w:rsidP="00977AB0">
      <w:pPr>
        <w:pStyle w:val="BodyCopy"/>
        <w:numPr>
          <w:ilvl w:val="0"/>
          <w:numId w:val="18"/>
        </w:numPr>
        <w:rPr>
          <w:color w:val="auto"/>
        </w:rPr>
      </w:pPr>
      <w:r w:rsidRPr="00977AB0">
        <w:rPr>
          <w:color w:val="auto"/>
        </w:rPr>
        <w:t>All finalists will be notified in writing on Thursday 16 September 2021</w:t>
      </w:r>
    </w:p>
    <w:p w14:paraId="38861275" w14:textId="2D637E7E" w:rsidR="00977AB0" w:rsidRPr="00820A75" w:rsidRDefault="00977AB0" w:rsidP="00977AB0">
      <w:pPr>
        <w:pStyle w:val="BodyCopy"/>
        <w:numPr>
          <w:ilvl w:val="0"/>
          <w:numId w:val="18"/>
        </w:numPr>
        <w:rPr>
          <w:color w:val="auto"/>
        </w:rPr>
      </w:pPr>
      <w:r w:rsidRPr="00977AB0">
        <w:rPr>
          <w:color w:val="auto"/>
        </w:rPr>
        <w:t xml:space="preserve">Awards will be presented at the </w:t>
      </w:r>
      <w:r w:rsidR="00820A75">
        <w:rPr>
          <w:color w:val="auto"/>
        </w:rPr>
        <w:t>Victorian Tennis Awards on Tuesday 19 October</w:t>
      </w:r>
      <w:r w:rsidR="00872C3B">
        <w:rPr>
          <w:color w:val="auto"/>
        </w:rPr>
        <w:t xml:space="preserve"> 2021</w:t>
      </w:r>
    </w:p>
    <w:p w14:paraId="5C3E0CEA" w14:textId="77777777" w:rsidR="00E1753E" w:rsidRPr="00471BCD" w:rsidRDefault="00E1753E" w:rsidP="00E1753E">
      <w:pPr>
        <w:pStyle w:val="BodyCopy"/>
      </w:pPr>
    </w:p>
    <w:p w14:paraId="5382650B" w14:textId="47012101"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4DF6359E" w14:textId="77777777" w:rsidR="001F56FA" w:rsidRPr="0082292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973DDAA" w14:textId="77777777" w:rsidR="001F56FA" w:rsidRPr="0082292A" w:rsidRDefault="001F56FA" w:rsidP="001F56FA">
      <w:pPr>
        <w:rPr>
          <w:rFonts w:ascii="Myriad Pro" w:hAnsi="Myriad Pro"/>
          <w:sz w:val="22"/>
          <w:szCs w:val="20"/>
          <w:lang w:val="en-US"/>
        </w:rPr>
      </w:pPr>
    </w:p>
    <w:p w14:paraId="6D0BB8D8" w14:textId="5DAF66AC" w:rsidR="001F56FA" w:rsidRDefault="00ED119A" w:rsidP="001F56FA">
      <w:pPr>
        <w:rPr>
          <w:rFonts w:ascii="Myriad Pro" w:hAnsi="Myriad Pro"/>
          <w:sz w:val="22"/>
          <w:szCs w:val="20"/>
          <w:lang w:val="en-US"/>
        </w:rPr>
      </w:pPr>
      <w:r>
        <w:rPr>
          <w:rFonts w:ascii="Myriad Pro" w:hAnsi="Myriad Pro"/>
          <w:sz w:val="22"/>
          <w:szCs w:val="20"/>
          <w:lang w:val="en-US"/>
        </w:rPr>
        <w:t>Where applicable, t</w:t>
      </w:r>
      <w:r w:rsidR="001F56FA" w:rsidRPr="0082292A">
        <w:rPr>
          <w:rFonts w:ascii="Myriad Pro" w:hAnsi="Myriad Pro"/>
          <w:sz w:val="22"/>
          <w:szCs w:val="20"/>
          <w:lang w:val="en-US"/>
        </w:rPr>
        <w:t xml:space="preserve">he winner of this award will be nominated for the national </w:t>
      </w:r>
      <w:r w:rsidR="008B145C">
        <w:rPr>
          <w:rFonts w:ascii="Myriad Pro" w:hAnsi="Myriad Pro"/>
          <w:sz w:val="22"/>
          <w:szCs w:val="20"/>
          <w:lang w:val="en-US"/>
        </w:rPr>
        <w:t>Most Outstanding Tournament</w:t>
      </w:r>
      <w:r w:rsidR="001F56FA" w:rsidRPr="0082292A">
        <w:rPr>
          <w:rFonts w:ascii="Myriad Pro" w:hAnsi="Myriad Pro"/>
          <w:sz w:val="22"/>
          <w:szCs w:val="20"/>
          <w:lang w:val="en-US"/>
        </w:rPr>
        <w:t xml:space="preserve"> a</w:t>
      </w:r>
      <w:r w:rsidR="001F56FA">
        <w:rPr>
          <w:rFonts w:ascii="Myriad Pro" w:hAnsi="Myriad Pro"/>
          <w:sz w:val="22"/>
          <w:szCs w:val="20"/>
          <w:lang w:val="en-US"/>
        </w:rPr>
        <w:t>ward to be presented at the 20</w:t>
      </w:r>
      <w:r w:rsidR="00977AB0">
        <w:rPr>
          <w:rFonts w:ascii="Myriad Pro" w:hAnsi="Myriad Pro"/>
          <w:sz w:val="22"/>
          <w:szCs w:val="20"/>
          <w:lang w:val="en-US"/>
        </w:rPr>
        <w:t>21</w:t>
      </w:r>
      <w:r w:rsidR="001F56FA" w:rsidRPr="0082292A">
        <w:rPr>
          <w:rFonts w:ascii="Myriad Pro" w:hAnsi="Myriad Pro"/>
          <w:sz w:val="22"/>
          <w:szCs w:val="20"/>
          <w:lang w:val="en-US"/>
        </w:rPr>
        <w:t xml:space="preserve"> Newcombe Medal. </w:t>
      </w:r>
    </w:p>
    <w:p w14:paraId="3D896020" w14:textId="77777777" w:rsidR="00A3443C" w:rsidRPr="0082292A" w:rsidRDefault="00A3443C" w:rsidP="00723769">
      <w:pPr>
        <w:rPr>
          <w:rFonts w:ascii="Myriad Pro" w:hAnsi="Myriad Pro"/>
          <w:sz w:val="22"/>
          <w:szCs w:val="20"/>
          <w:lang w:val="en-US"/>
        </w:rPr>
      </w:pPr>
    </w:p>
    <w:p w14:paraId="1340EE26" w14:textId="7C3BCDB2" w:rsidR="00BF7593" w:rsidRPr="00FC470C" w:rsidRDefault="00820A75" w:rsidP="00BF7593">
      <w:pPr>
        <w:pStyle w:val="Subheadings"/>
        <w:jc w:val="both"/>
        <w:rPr>
          <w:sz w:val="16"/>
          <w:szCs w:val="16"/>
        </w:rPr>
      </w:pPr>
      <w:r w:rsidRPr="00820A75">
        <w:rPr>
          <w:b w:val="0"/>
          <w:i w:val="0"/>
          <w:color w:val="auto"/>
          <w:sz w:val="22"/>
          <w:szCs w:val="24"/>
          <w:lang w:val="en-AU"/>
        </w:rPr>
        <w:t>Finalists will be entitled to two (2) free of charge tickets to attend the event. Further tickets will be available for purchase subject to capacity.</w:t>
      </w:r>
    </w:p>
    <w:p w14:paraId="2771B12F" w14:textId="77777777" w:rsidR="008B145C" w:rsidRDefault="00261FA3" w:rsidP="00E7385D">
      <w:r>
        <w:br w:type="page"/>
      </w:r>
    </w:p>
    <w:p w14:paraId="07728C42" w14:textId="77777777" w:rsidR="008B145C" w:rsidRDefault="008B145C" w:rsidP="00E7385D"/>
    <w:p w14:paraId="7BEBF406" w14:textId="39AB9B53" w:rsidR="009520D7" w:rsidRPr="00E7385D" w:rsidRDefault="009520D7" w:rsidP="00E7385D">
      <w:pPr>
        <w:rPr>
          <w:rFonts w:ascii="Myriad Pro" w:hAnsi="Myriad Pro"/>
          <w:color w:val="5F5F5F"/>
          <w:sz w:val="22"/>
          <w:szCs w:val="20"/>
          <w:lang w:val="en-US"/>
        </w:rPr>
      </w:pPr>
      <w:r w:rsidRPr="008B145C">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1C77A27A" w:rsidR="00E7385D" w:rsidRDefault="00941315" w:rsidP="00785827">
            <w:pPr>
              <w:rPr>
                <w:rFonts w:ascii="Myriad Pro" w:hAnsi="Myriad Pro"/>
                <w:color w:val="5F5F5F"/>
                <w:szCs w:val="20"/>
                <w:lang w:val="en-US"/>
              </w:rPr>
            </w:pPr>
            <w:r w:rsidRPr="00941315">
              <w:rPr>
                <w:rFonts w:ascii="Myriad Pro" w:hAnsi="Myriad Pro"/>
                <w:szCs w:val="20"/>
                <w:lang w:val="en-US"/>
              </w:rPr>
              <w:t>The overall quality of the event delivered, ensuring an outstanding experience for athletes, coaches, families and officials including social activities and standard of amenities.</w:t>
            </w:r>
            <w:r>
              <w:t xml:space="preserve"> </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0E5C48B" w14:textId="77777777" w:rsidR="00E7385D" w:rsidRDefault="00E7385D" w:rsidP="00785827">
            <w:pPr>
              <w:rPr>
                <w:rFonts w:ascii="Myriad Pro" w:hAnsi="Myriad Pro"/>
                <w:color w:val="5F5F5F"/>
                <w:szCs w:val="20"/>
                <w:lang w:val="en-US"/>
              </w:rPr>
            </w:pPr>
          </w:p>
          <w:p w14:paraId="34292D93" w14:textId="77777777" w:rsidR="008B145C" w:rsidRDefault="008B145C" w:rsidP="00785827">
            <w:pPr>
              <w:rPr>
                <w:rFonts w:ascii="Myriad Pro" w:hAnsi="Myriad Pro"/>
                <w:color w:val="5F5F5F"/>
                <w:szCs w:val="20"/>
                <w:lang w:val="en-US"/>
              </w:rPr>
            </w:pPr>
          </w:p>
          <w:p w14:paraId="01EBE11A" w14:textId="77777777" w:rsidR="008B145C" w:rsidRDefault="008B145C" w:rsidP="00785827">
            <w:pPr>
              <w:rPr>
                <w:rFonts w:ascii="Myriad Pro" w:hAnsi="Myriad Pro"/>
                <w:color w:val="5F5F5F"/>
                <w:szCs w:val="20"/>
                <w:lang w:val="en-US"/>
              </w:rPr>
            </w:pPr>
          </w:p>
          <w:p w14:paraId="254264C3" w14:textId="77777777" w:rsidR="008B145C" w:rsidRDefault="008B145C" w:rsidP="00785827">
            <w:pPr>
              <w:rPr>
                <w:rFonts w:ascii="Myriad Pro" w:hAnsi="Myriad Pro"/>
                <w:color w:val="5F5F5F"/>
                <w:szCs w:val="20"/>
                <w:lang w:val="en-US"/>
              </w:rPr>
            </w:pPr>
          </w:p>
          <w:p w14:paraId="7E47AC40" w14:textId="7BC73B7F" w:rsidR="008B145C" w:rsidRDefault="008B145C"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005B6F6B" w:rsidR="00E7385D" w:rsidRPr="0090019F" w:rsidRDefault="008B145C" w:rsidP="00785827">
            <w:pPr>
              <w:rPr>
                <w:rFonts w:ascii="Myriad Pro" w:hAnsi="Myriad Pro"/>
                <w:szCs w:val="20"/>
                <w:lang w:val="en-US"/>
              </w:rPr>
            </w:pPr>
            <w:r>
              <w:rPr>
                <w:rFonts w:ascii="Myriad Pro" w:hAnsi="Myriad Pro"/>
                <w:szCs w:val="20"/>
                <w:lang w:val="en-US"/>
              </w:rPr>
              <w:t>T</w:t>
            </w:r>
            <w:r w:rsidRPr="008B145C">
              <w:rPr>
                <w:rFonts w:ascii="Myriad Pro" w:hAnsi="Myriad Pro"/>
                <w:szCs w:val="20"/>
                <w:lang w:val="en-US"/>
              </w:rPr>
              <w:t>he type, volume and level of success of media and promotional activities undertaken</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93D3569" w14:textId="77777777" w:rsidR="00E7385D" w:rsidRDefault="00E7385D" w:rsidP="00785827">
            <w:pPr>
              <w:rPr>
                <w:rFonts w:ascii="Myriad Pro" w:hAnsi="Myriad Pro"/>
                <w:szCs w:val="20"/>
                <w:lang w:val="en-US"/>
              </w:rPr>
            </w:pPr>
          </w:p>
          <w:p w14:paraId="337EA4E9" w14:textId="77777777" w:rsidR="008B145C" w:rsidRDefault="008B145C" w:rsidP="00785827">
            <w:pPr>
              <w:rPr>
                <w:rFonts w:ascii="Myriad Pro" w:hAnsi="Myriad Pro"/>
                <w:szCs w:val="20"/>
                <w:lang w:val="en-US"/>
              </w:rPr>
            </w:pPr>
          </w:p>
          <w:p w14:paraId="06271866" w14:textId="77777777" w:rsidR="008B145C" w:rsidRDefault="008B145C" w:rsidP="00785827">
            <w:pPr>
              <w:rPr>
                <w:rFonts w:ascii="Myriad Pro" w:hAnsi="Myriad Pro"/>
                <w:szCs w:val="20"/>
                <w:lang w:val="en-US"/>
              </w:rPr>
            </w:pPr>
          </w:p>
          <w:p w14:paraId="639D90EA" w14:textId="77777777" w:rsidR="008B145C" w:rsidRDefault="008B145C" w:rsidP="00785827">
            <w:pPr>
              <w:rPr>
                <w:rFonts w:ascii="Myriad Pro" w:hAnsi="Myriad Pro"/>
                <w:szCs w:val="20"/>
                <w:lang w:val="en-US"/>
              </w:rPr>
            </w:pPr>
          </w:p>
          <w:p w14:paraId="37FEE20D" w14:textId="31820243" w:rsidR="008B145C" w:rsidRPr="0090019F" w:rsidRDefault="008B145C"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72866F20" w:rsidR="00E7385D" w:rsidRPr="0090019F" w:rsidRDefault="00941315" w:rsidP="00785827">
            <w:pPr>
              <w:rPr>
                <w:rFonts w:ascii="Myriad Pro" w:hAnsi="Myriad Pro"/>
                <w:szCs w:val="20"/>
                <w:lang w:val="en-US"/>
              </w:rPr>
            </w:pPr>
            <w:r>
              <w:rPr>
                <w:rFonts w:ascii="Myriad Pro" w:hAnsi="Myriad Pro"/>
                <w:szCs w:val="20"/>
                <w:lang w:val="en-US"/>
              </w:rPr>
              <w:t>Demonstrated socio economic benefit to the club and/or community.</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168D2B7" w14:textId="77777777" w:rsidR="00E7385D" w:rsidRDefault="00E7385D" w:rsidP="00785827">
            <w:pPr>
              <w:rPr>
                <w:rFonts w:ascii="Myriad Pro" w:hAnsi="Myriad Pro"/>
                <w:szCs w:val="20"/>
                <w:lang w:val="en-US"/>
              </w:rPr>
            </w:pPr>
          </w:p>
          <w:p w14:paraId="351BC334" w14:textId="77777777" w:rsidR="008B145C" w:rsidRDefault="008B145C" w:rsidP="00785827">
            <w:pPr>
              <w:rPr>
                <w:rFonts w:ascii="Myriad Pro" w:hAnsi="Myriad Pro"/>
                <w:szCs w:val="20"/>
                <w:lang w:val="en-US"/>
              </w:rPr>
            </w:pPr>
          </w:p>
          <w:p w14:paraId="0C4CCB9E" w14:textId="77777777" w:rsidR="008B145C" w:rsidRDefault="008B145C" w:rsidP="00785827">
            <w:pPr>
              <w:rPr>
                <w:rFonts w:ascii="Myriad Pro" w:hAnsi="Myriad Pro"/>
                <w:szCs w:val="20"/>
                <w:lang w:val="en-US"/>
              </w:rPr>
            </w:pPr>
          </w:p>
          <w:p w14:paraId="12F60B32" w14:textId="77777777" w:rsidR="008B145C" w:rsidRDefault="008B145C" w:rsidP="00785827">
            <w:pPr>
              <w:rPr>
                <w:rFonts w:ascii="Myriad Pro" w:hAnsi="Myriad Pro"/>
                <w:szCs w:val="20"/>
                <w:lang w:val="en-US"/>
              </w:rPr>
            </w:pPr>
          </w:p>
          <w:p w14:paraId="48F4BD12" w14:textId="0968C263" w:rsidR="008B145C" w:rsidRPr="0090019F" w:rsidRDefault="008B145C"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7EF0D801" w:rsidR="00E7385D" w:rsidRPr="0090019F" w:rsidRDefault="008B145C" w:rsidP="00785827">
            <w:pPr>
              <w:rPr>
                <w:rFonts w:ascii="Myriad Pro" w:hAnsi="Myriad Pro"/>
                <w:szCs w:val="20"/>
                <w:lang w:val="en-US"/>
              </w:rPr>
            </w:pPr>
            <w:r>
              <w:rPr>
                <w:rFonts w:ascii="Myriad Pro" w:hAnsi="Myriad Pro"/>
                <w:szCs w:val="20"/>
                <w:lang w:val="en-US"/>
              </w:rPr>
              <w:t>T</w:t>
            </w:r>
            <w:r w:rsidRPr="008B145C">
              <w:rPr>
                <w:rFonts w:ascii="Myriad Pro" w:hAnsi="Myriad Pro"/>
                <w:szCs w:val="20"/>
                <w:lang w:val="en-US"/>
              </w:rPr>
              <w:t>he standard of the tournament sponsorship program and the level of service provided to the sponsors</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B46F866" w14:textId="77777777" w:rsidR="00E7385D" w:rsidRDefault="00E7385D" w:rsidP="00785827">
            <w:pPr>
              <w:rPr>
                <w:rFonts w:ascii="Myriad Pro" w:hAnsi="Myriad Pro"/>
                <w:szCs w:val="20"/>
                <w:lang w:val="en-US"/>
              </w:rPr>
            </w:pPr>
          </w:p>
          <w:p w14:paraId="2C5D0E7B" w14:textId="77777777" w:rsidR="008B145C" w:rsidRDefault="008B145C" w:rsidP="00785827">
            <w:pPr>
              <w:rPr>
                <w:rFonts w:ascii="Myriad Pro" w:hAnsi="Myriad Pro"/>
                <w:szCs w:val="20"/>
                <w:lang w:val="en-US"/>
              </w:rPr>
            </w:pPr>
          </w:p>
          <w:p w14:paraId="0DDFFEE6" w14:textId="77777777" w:rsidR="008B145C" w:rsidRDefault="008B145C" w:rsidP="00785827">
            <w:pPr>
              <w:rPr>
                <w:rFonts w:ascii="Myriad Pro" w:hAnsi="Myriad Pro"/>
                <w:szCs w:val="20"/>
                <w:lang w:val="en-US"/>
              </w:rPr>
            </w:pPr>
          </w:p>
          <w:p w14:paraId="75BC602E" w14:textId="77777777" w:rsidR="008B145C" w:rsidRDefault="008B145C" w:rsidP="00785827">
            <w:pPr>
              <w:rPr>
                <w:rFonts w:ascii="Myriad Pro" w:hAnsi="Myriad Pro"/>
                <w:szCs w:val="20"/>
                <w:lang w:val="en-US"/>
              </w:rPr>
            </w:pPr>
          </w:p>
          <w:p w14:paraId="67BBB4CD" w14:textId="2A22023B" w:rsidR="008B145C" w:rsidRPr="0090019F" w:rsidRDefault="008B145C"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4EE14BF2" w:rsidR="0090019F" w:rsidRPr="0090019F" w:rsidRDefault="008B145C" w:rsidP="0090019F">
            <w:pPr>
              <w:rPr>
                <w:rFonts w:ascii="Myriad Pro" w:hAnsi="Myriad Pro"/>
                <w:szCs w:val="20"/>
                <w:lang w:val="en-US"/>
              </w:rPr>
            </w:pPr>
            <w:r>
              <w:rPr>
                <w:rFonts w:ascii="Myriad Pro" w:hAnsi="Myriad Pro"/>
                <w:szCs w:val="20"/>
                <w:lang w:val="en-US"/>
              </w:rPr>
              <w:t>T</w:t>
            </w:r>
            <w:r w:rsidRPr="008B145C">
              <w:rPr>
                <w:rFonts w:ascii="Myriad Pro" w:hAnsi="Myriad Pro"/>
                <w:szCs w:val="20"/>
                <w:lang w:val="en-US"/>
              </w:rPr>
              <w:t>he level of pro-activity shown by the tournament committee and the success of the pro-active actions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DB4EE59" w14:textId="77777777" w:rsidR="0090019F" w:rsidRDefault="0090019F" w:rsidP="0090019F">
            <w:pPr>
              <w:rPr>
                <w:rFonts w:ascii="Myriad Pro" w:hAnsi="Myriad Pro"/>
                <w:szCs w:val="20"/>
                <w:lang w:val="en-US"/>
              </w:rPr>
            </w:pPr>
          </w:p>
          <w:p w14:paraId="364A9C39" w14:textId="77777777" w:rsidR="008B145C" w:rsidRDefault="008B145C" w:rsidP="0090019F">
            <w:pPr>
              <w:rPr>
                <w:rFonts w:ascii="Myriad Pro" w:hAnsi="Myriad Pro"/>
                <w:szCs w:val="20"/>
                <w:lang w:val="en-US"/>
              </w:rPr>
            </w:pPr>
          </w:p>
          <w:p w14:paraId="48AC394B" w14:textId="77777777" w:rsidR="008B145C" w:rsidRDefault="008B145C" w:rsidP="0090019F">
            <w:pPr>
              <w:rPr>
                <w:rFonts w:ascii="Myriad Pro" w:hAnsi="Myriad Pro"/>
                <w:szCs w:val="20"/>
                <w:lang w:val="en-US"/>
              </w:rPr>
            </w:pPr>
          </w:p>
          <w:p w14:paraId="721C38F8" w14:textId="77777777" w:rsidR="008B145C" w:rsidRDefault="008B145C" w:rsidP="0090019F">
            <w:pPr>
              <w:rPr>
                <w:rFonts w:ascii="Myriad Pro" w:hAnsi="Myriad Pro"/>
                <w:szCs w:val="20"/>
                <w:lang w:val="en-US"/>
              </w:rPr>
            </w:pPr>
          </w:p>
          <w:p w14:paraId="3BFBEDF4" w14:textId="18182A52" w:rsidR="008B145C" w:rsidRPr="0090019F" w:rsidRDefault="008B145C" w:rsidP="0090019F">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21412B46" w14:textId="33024B3E" w:rsidR="0090019F" w:rsidRPr="0090019F" w:rsidRDefault="008B145C" w:rsidP="0090019F">
            <w:pPr>
              <w:rPr>
                <w:rFonts w:ascii="Myriad Pro" w:hAnsi="Myriad Pro"/>
                <w:szCs w:val="20"/>
                <w:lang w:val="en-US"/>
              </w:rPr>
            </w:pPr>
            <w:r w:rsidRPr="008B145C">
              <w:rPr>
                <w:rFonts w:ascii="Myriad Pro" w:hAnsi="Myriad Pro"/>
                <w:szCs w:val="20"/>
                <w:lang w:val="en-US"/>
              </w:rPr>
              <w:t>Demonstrated commitment to quality customer service throughout the tournament, as well as leader</w:t>
            </w:r>
            <w:r>
              <w:rPr>
                <w:rFonts w:ascii="Myriad Pro" w:hAnsi="Myriad Pro"/>
                <w:szCs w:val="20"/>
                <w:lang w:val="en-US"/>
              </w:rPr>
              <w:t>ship, innovation and creativity</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44B2C09" w14:textId="3C6D7F5A" w:rsidR="008B145C" w:rsidRDefault="008B145C" w:rsidP="0090019F">
            <w:pPr>
              <w:rPr>
                <w:rFonts w:ascii="Myriad Pro" w:hAnsi="Myriad Pro"/>
                <w:szCs w:val="20"/>
                <w:lang w:val="en-US"/>
              </w:rPr>
            </w:pPr>
          </w:p>
          <w:p w14:paraId="3C82282D" w14:textId="77777777" w:rsidR="008B145C" w:rsidRDefault="008B145C" w:rsidP="0090019F">
            <w:pPr>
              <w:rPr>
                <w:rFonts w:ascii="Myriad Pro" w:hAnsi="Myriad Pro"/>
                <w:szCs w:val="20"/>
                <w:lang w:val="en-US"/>
              </w:rPr>
            </w:pPr>
          </w:p>
          <w:p w14:paraId="56B5ADDD" w14:textId="77777777" w:rsidR="008B145C" w:rsidRDefault="008B145C" w:rsidP="0090019F">
            <w:pPr>
              <w:rPr>
                <w:rFonts w:ascii="Myriad Pro" w:hAnsi="Myriad Pro"/>
                <w:szCs w:val="20"/>
                <w:lang w:val="en-US"/>
              </w:rPr>
            </w:pPr>
          </w:p>
          <w:p w14:paraId="02F56821" w14:textId="226D507E" w:rsidR="008B145C" w:rsidRPr="0090019F" w:rsidRDefault="008B145C" w:rsidP="0090019F">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2894F330" w:rsidR="006235FF" w:rsidRDefault="0074065D" w:rsidP="00C031A9">
            <w:pPr>
              <w:pStyle w:val="BodyCopy"/>
            </w:pPr>
            <w:r>
              <w:t>20</w:t>
            </w:r>
            <w:r w:rsidR="00977AB0">
              <w:t>21</w:t>
            </w:r>
            <w:r w:rsidR="00E33A2C">
              <w:t xml:space="preserve"> </w:t>
            </w:r>
            <w:r w:rsidR="006235FF">
              <w:t xml:space="preserve">Victorian Tennis Awards – </w:t>
            </w:r>
            <w:r w:rsidR="008B145C">
              <w:t xml:space="preserve">Most Outstanding Tournament </w:t>
            </w:r>
            <w:r w:rsidR="008B145C">
              <w:tab/>
            </w:r>
            <w:r w:rsidR="008B145C">
              <w:tab/>
            </w:r>
            <w:r w:rsidR="008B145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ED119A">
              <w:rPr>
                <w:noProof/>
              </w:rPr>
              <w:t>2</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ED119A">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273AED89" w:rsidR="00785827" w:rsidRDefault="00941315" w:rsidP="00977AB0">
    <w:pPr>
      <w:pStyle w:val="Header"/>
      <w:jc w:val="center"/>
    </w:pPr>
    <w:r>
      <w:rPr>
        <w:noProof/>
      </w:rPr>
      <w:drawing>
        <wp:inline distT="0" distB="0" distL="0" distR="0" wp14:anchorId="1AB775D1" wp14:editId="1938B799">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E3FA2"/>
    <w:multiLevelType w:val="hybridMultilevel"/>
    <w:tmpl w:val="CBA0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FF8"/>
    <w:multiLevelType w:val="hybridMultilevel"/>
    <w:tmpl w:val="E44A6B44"/>
    <w:lvl w:ilvl="0" w:tplc="CFB6248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02DD"/>
    <w:multiLevelType w:val="hybridMultilevel"/>
    <w:tmpl w:val="16E23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5"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4"/>
  </w:num>
  <w:num w:numId="6">
    <w:abstractNumId w:val="15"/>
  </w:num>
  <w:num w:numId="7">
    <w:abstractNumId w:val="2"/>
  </w:num>
  <w:num w:numId="8">
    <w:abstractNumId w:val="12"/>
  </w:num>
  <w:num w:numId="9">
    <w:abstractNumId w:val="9"/>
  </w:num>
  <w:num w:numId="10">
    <w:abstractNumId w:val="11"/>
  </w:num>
  <w:num w:numId="11">
    <w:abstractNumId w:val="7"/>
  </w:num>
  <w:num w:numId="12">
    <w:abstractNumId w:val="6"/>
  </w:num>
  <w:num w:numId="13">
    <w:abstractNumId w:val="16"/>
  </w:num>
  <w:num w:numId="14">
    <w:abstractNumId w:val="0"/>
  </w:num>
  <w:num w:numId="15">
    <w:abstractNumId w:val="14"/>
  </w:num>
  <w:num w:numId="16">
    <w:abstractNumId w:val="13"/>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87"/>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96CFC"/>
    <w:rsid w:val="000A314E"/>
    <w:rsid w:val="000B3438"/>
    <w:rsid w:val="000E158E"/>
    <w:rsid w:val="000F3388"/>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61FA3"/>
    <w:rsid w:val="00292507"/>
    <w:rsid w:val="002A707E"/>
    <w:rsid w:val="002D0D13"/>
    <w:rsid w:val="00320C6E"/>
    <w:rsid w:val="0032622F"/>
    <w:rsid w:val="0037570A"/>
    <w:rsid w:val="00382BC5"/>
    <w:rsid w:val="00383B19"/>
    <w:rsid w:val="003946EC"/>
    <w:rsid w:val="00394788"/>
    <w:rsid w:val="003C0D92"/>
    <w:rsid w:val="003C4A52"/>
    <w:rsid w:val="003E3737"/>
    <w:rsid w:val="0040334E"/>
    <w:rsid w:val="00454DCF"/>
    <w:rsid w:val="00464A32"/>
    <w:rsid w:val="004956B4"/>
    <w:rsid w:val="005117BB"/>
    <w:rsid w:val="00515655"/>
    <w:rsid w:val="00525904"/>
    <w:rsid w:val="00531F43"/>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6491A"/>
    <w:rsid w:val="006732B1"/>
    <w:rsid w:val="006743BE"/>
    <w:rsid w:val="006806EE"/>
    <w:rsid w:val="00686A8B"/>
    <w:rsid w:val="006E3048"/>
    <w:rsid w:val="00710E8A"/>
    <w:rsid w:val="00723769"/>
    <w:rsid w:val="007248D4"/>
    <w:rsid w:val="00725810"/>
    <w:rsid w:val="0074065D"/>
    <w:rsid w:val="00754370"/>
    <w:rsid w:val="007643BD"/>
    <w:rsid w:val="00771C29"/>
    <w:rsid w:val="007766FE"/>
    <w:rsid w:val="00785827"/>
    <w:rsid w:val="007D75E1"/>
    <w:rsid w:val="0081152F"/>
    <w:rsid w:val="00820A75"/>
    <w:rsid w:val="00855EA4"/>
    <w:rsid w:val="00872C3B"/>
    <w:rsid w:val="00893887"/>
    <w:rsid w:val="00894569"/>
    <w:rsid w:val="008A1F0D"/>
    <w:rsid w:val="008B145C"/>
    <w:rsid w:val="008B2CA6"/>
    <w:rsid w:val="008B5B1B"/>
    <w:rsid w:val="0090019F"/>
    <w:rsid w:val="00900739"/>
    <w:rsid w:val="00907CC3"/>
    <w:rsid w:val="0091311D"/>
    <w:rsid w:val="00917856"/>
    <w:rsid w:val="0093022B"/>
    <w:rsid w:val="00941315"/>
    <w:rsid w:val="009452A3"/>
    <w:rsid w:val="009520D7"/>
    <w:rsid w:val="0095453B"/>
    <w:rsid w:val="009704C9"/>
    <w:rsid w:val="00977AB0"/>
    <w:rsid w:val="009D2365"/>
    <w:rsid w:val="00A07252"/>
    <w:rsid w:val="00A17F19"/>
    <w:rsid w:val="00A23ABA"/>
    <w:rsid w:val="00A252EB"/>
    <w:rsid w:val="00A3443C"/>
    <w:rsid w:val="00AF28F0"/>
    <w:rsid w:val="00AF48E9"/>
    <w:rsid w:val="00B12BFC"/>
    <w:rsid w:val="00B24F20"/>
    <w:rsid w:val="00B31F13"/>
    <w:rsid w:val="00B579B0"/>
    <w:rsid w:val="00B7069C"/>
    <w:rsid w:val="00B90637"/>
    <w:rsid w:val="00BA240E"/>
    <w:rsid w:val="00BC4B40"/>
    <w:rsid w:val="00BD3E21"/>
    <w:rsid w:val="00BD67A9"/>
    <w:rsid w:val="00BF352B"/>
    <w:rsid w:val="00BF7593"/>
    <w:rsid w:val="00C031A9"/>
    <w:rsid w:val="00C207A4"/>
    <w:rsid w:val="00C2448F"/>
    <w:rsid w:val="00C61DF2"/>
    <w:rsid w:val="00C67CF4"/>
    <w:rsid w:val="00C715AF"/>
    <w:rsid w:val="00C729E5"/>
    <w:rsid w:val="00C8641A"/>
    <w:rsid w:val="00CC04DD"/>
    <w:rsid w:val="00CC16FC"/>
    <w:rsid w:val="00CC2E06"/>
    <w:rsid w:val="00D27899"/>
    <w:rsid w:val="00D31015"/>
    <w:rsid w:val="00D32882"/>
    <w:rsid w:val="00D40E53"/>
    <w:rsid w:val="00D45366"/>
    <w:rsid w:val="00D86B90"/>
    <w:rsid w:val="00DB7B92"/>
    <w:rsid w:val="00DD5DF4"/>
    <w:rsid w:val="00DD7B74"/>
    <w:rsid w:val="00DF7ECC"/>
    <w:rsid w:val="00E11455"/>
    <w:rsid w:val="00E1753E"/>
    <w:rsid w:val="00E33A2C"/>
    <w:rsid w:val="00E46C01"/>
    <w:rsid w:val="00E7385D"/>
    <w:rsid w:val="00EA1190"/>
    <w:rsid w:val="00ED119A"/>
    <w:rsid w:val="00EE2B61"/>
    <w:rsid w:val="00EE30F5"/>
    <w:rsid w:val="00F10A47"/>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F43"/>
    <w:rPr>
      <w:sz w:val="16"/>
      <w:szCs w:val="16"/>
    </w:rPr>
  </w:style>
  <w:style w:type="paragraph" w:styleId="CommentText">
    <w:name w:val="annotation text"/>
    <w:basedOn w:val="Normal"/>
    <w:link w:val="CommentTextChar"/>
    <w:uiPriority w:val="99"/>
    <w:semiHidden/>
    <w:unhideWhenUsed/>
    <w:rsid w:val="00531F43"/>
    <w:rPr>
      <w:sz w:val="20"/>
      <w:szCs w:val="20"/>
    </w:rPr>
  </w:style>
  <w:style w:type="character" w:customStyle="1" w:styleId="CommentTextChar">
    <w:name w:val="Comment Text Char"/>
    <w:basedOn w:val="DefaultParagraphFont"/>
    <w:link w:val="CommentText"/>
    <w:uiPriority w:val="99"/>
    <w:semiHidden/>
    <w:rsid w:val="00531F4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31F43"/>
    <w:rPr>
      <w:b/>
      <w:bCs/>
    </w:rPr>
  </w:style>
  <w:style w:type="character" w:customStyle="1" w:styleId="CommentSubjectChar">
    <w:name w:val="Comment Subject Char"/>
    <w:basedOn w:val="CommentTextChar"/>
    <w:link w:val="CommentSubject"/>
    <w:uiPriority w:val="99"/>
    <w:semiHidden/>
    <w:rsid w:val="00531F43"/>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2111705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0DE2-237F-4343-96C9-D6082F7C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4780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9</cp:revision>
  <cp:lastPrinted>2019-07-09T05:59:00Z</cp:lastPrinted>
  <dcterms:created xsi:type="dcterms:W3CDTF">2021-07-27T01:20:00Z</dcterms:created>
  <dcterms:modified xsi:type="dcterms:W3CDTF">2021-08-03T07:28:00Z</dcterms:modified>
  <cp:category/>
</cp:coreProperties>
</file>