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7FF3" w14:textId="65DEEF98" w:rsidR="00785827" w:rsidRDefault="00785827" w:rsidP="00907CC3">
      <w:pPr>
        <w:ind w:left="-90"/>
        <w:rPr>
          <w:rFonts w:ascii="Myriad Pro" w:hAnsi="Myriad Pro"/>
          <w:b/>
          <w:bCs/>
        </w:rPr>
      </w:pPr>
    </w:p>
    <w:p w14:paraId="40FF3694" w14:textId="663F8678" w:rsidR="00EA1190" w:rsidRPr="008B2CA6" w:rsidRDefault="007F5585" w:rsidP="00EA1190">
      <w:pPr>
        <w:ind w:left="-90"/>
        <w:jc w:val="center"/>
        <w:rPr>
          <w:rFonts w:ascii="Myriad Pro" w:hAnsi="Myriad Pro"/>
          <w:b/>
          <w:bCs/>
          <w:i/>
          <w:color w:val="1C4996"/>
          <w:sz w:val="32"/>
        </w:rPr>
      </w:pPr>
      <w:r>
        <w:rPr>
          <w:rFonts w:ascii="Myriad Pro" w:hAnsi="Myriad Pro"/>
          <w:b/>
          <w:bCs/>
          <w:i/>
          <w:color w:val="1C4996"/>
          <w:sz w:val="32"/>
        </w:rPr>
        <w:t>Junior Athlete of the Year – Male and Female</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1D60D362" w14:textId="49BF9F17" w:rsidR="00723769" w:rsidRPr="00723769" w:rsidRDefault="00723769" w:rsidP="006235FF">
      <w:pPr>
        <w:pStyle w:val="SubHeading"/>
        <w:rPr>
          <w:b w:val="0"/>
          <w:i w:val="0"/>
          <w:color w:val="auto"/>
          <w:sz w:val="22"/>
          <w:szCs w:val="20"/>
        </w:rPr>
      </w:pPr>
      <w:r w:rsidRPr="00723769">
        <w:rPr>
          <w:b w:val="0"/>
          <w:i w:val="0"/>
          <w:color w:val="auto"/>
          <w:sz w:val="22"/>
          <w:szCs w:val="20"/>
        </w:rPr>
        <w:t xml:space="preserve">Nominees must </w:t>
      </w:r>
      <w:r w:rsidR="007F5585">
        <w:rPr>
          <w:b w:val="0"/>
          <w:i w:val="0"/>
          <w:color w:val="auto"/>
          <w:sz w:val="22"/>
          <w:szCs w:val="20"/>
        </w:rPr>
        <w:t>be:</w:t>
      </w:r>
    </w:p>
    <w:p w14:paraId="6E728B37" w14:textId="77777777" w:rsidR="007F5585" w:rsidRDefault="007F5585" w:rsidP="007F5585">
      <w:pPr>
        <w:pStyle w:val="SubHeading"/>
        <w:numPr>
          <w:ilvl w:val="0"/>
          <w:numId w:val="16"/>
        </w:numPr>
        <w:rPr>
          <w:b w:val="0"/>
          <w:i w:val="0"/>
          <w:color w:val="auto"/>
          <w:sz w:val="22"/>
          <w:szCs w:val="20"/>
        </w:rPr>
      </w:pPr>
      <w:r w:rsidRPr="007F5585">
        <w:rPr>
          <w:b w:val="0"/>
          <w:i w:val="0"/>
          <w:color w:val="auto"/>
          <w:sz w:val="22"/>
          <w:szCs w:val="20"/>
        </w:rPr>
        <w:t xml:space="preserve">18 years and under as at the end of the award period </w:t>
      </w:r>
    </w:p>
    <w:p w14:paraId="0579A7BF" w14:textId="7266B201" w:rsidR="00723769" w:rsidRDefault="007F5585" w:rsidP="007F5585">
      <w:pPr>
        <w:pStyle w:val="SubHeading"/>
        <w:numPr>
          <w:ilvl w:val="0"/>
          <w:numId w:val="16"/>
        </w:numPr>
        <w:rPr>
          <w:b w:val="0"/>
          <w:i w:val="0"/>
          <w:color w:val="auto"/>
          <w:sz w:val="22"/>
          <w:szCs w:val="20"/>
        </w:rPr>
      </w:pPr>
      <w:r w:rsidRPr="007F5585">
        <w:rPr>
          <w:b w:val="0"/>
          <w:i w:val="0"/>
          <w:color w:val="auto"/>
          <w:sz w:val="22"/>
          <w:szCs w:val="20"/>
        </w:rPr>
        <w:t>A citizen or hold permanent residency of Australia</w:t>
      </w:r>
      <w:r w:rsidR="001B6860">
        <w:rPr>
          <w:b w:val="0"/>
          <w:i w:val="0"/>
          <w:color w:val="auto"/>
          <w:sz w:val="22"/>
          <w:szCs w:val="20"/>
        </w:rPr>
        <w:t xml:space="preserve"> </w:t>
      </w:r>
      <w:r w:rsidR="001B6860" w:rsidRPr="00790986">
        <w:rPr>
          <w:b w:val="0"/>
          <w:i w:val="0"/>
          <w:color w:val="auto"/>
          <w:sz w:val="22"/>
          <w:szCs w:val="20"/>
        </w:rPr>
        <w:t xml:space="preserve">and </w:t>
      </w:r>
      <w:r w:rsidR="009D1F88">
        <w:rPr>
          <w:b w:val="0"/>
          <w:i w:val="0"/>
          <w:color w:val="auto"/>
          <w:sz w:val="22"/>
          <w:szCs w:val="20"/>
        </w:rPr>
        <w:t xml:space="preserve">identified as Victorian as per the </w:t>
      </w:r>
      <w:hyperlink r:id="rId8" w:history="1">
        <w:r w:rsidR="009D1F88" w:rsidRPr="009D1F88">
          <w:rPr>
            <w:rStyle w:val="Hyperlink"/>
            <w:b w:val="0"/>
            <w:i w:val="0"/>
            <w:sz w:val="22"/>
            <w:szCs w:val="20"/>
          </w:rPr>
          <w:t>Australian Tennis Rankings</w:t>
        </w:r>
      </w:hyperlink>
      <w:r w:rsidR="009D1F88">
        <w:rPr>
          <w:b w:val="0"/>
          <w:i w:val="0"/>
          <w:color w:val="auto"/>
          <w:sz w:val="22"/>
          <w:szCs w:val="20"/>
        </w:rPr>
        <w:t>.</w:t>
      </w:r>
    </w:p>
    <w:p w14:paraId="749A05D6" w14:textId="77777777" w:rsidR="007F5585" w:rsidRPr="007F5585" w:rsidRDefault="007F5585" w:rsidP="007F5585">
      <w:pPr>
        <w:pStyle w:val="SubHeading"/>
        <w:ind w:left="720"/>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576D6EA4" w:rsidR="009452A3" w:rsidRPr="0024120B" w:rsidRDefault="007F5585" w:rsidP="0074065D">
            <w:pPr>
              <w:pStyle w:val="BodyCopy"/>
              <w:rPr>
                <w:color w:val="auto"/>
              </w:rPr>
            </w:pPr>
            <w:r w:rsidRPr="007F5585">
              <w:rPr>
                <w:color w:val="auto"/>
              </w:rPr>
              <w:t>Commendable ranking level and results (ATP/WTA/ITF/AR)</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3BB5E745" w:rsidR="009452A3" w:rsidRDefault="007F5585" w:rsidP="0074065D">
            <w:pPr>
              <w:pStyle w:val="BodyCopy"/>
              <w:rPr>
                <w:color w:val="auto"/>
              </w:rPr>
            </w:pPr>
            <w:r w:rsidRPr="007F5585">
              <w:rPr>
                <w:color w:val="auto"/>
              </w:rPr>
              <w:t>Demonstrated record playing for Australia (if applicable)</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3A5758AB" w:rsidR="009452A3" w:rsidRPr="0024120B" w:rsidRDefault="007F5585" w:rsidP="006235FF">
            <w:pPr>
              <w:pStyle w:val="BodyCopy"/>
              <w:rPr>
                <w:color w:val="auto"/>
              </w:rPr>
            </w:pPr>
            <w:r w:rsidRPr="007F5585">
              <w:rPr>
                <w:color w:val="auto"/>
              </w:rPr>
              <w:t>Appropriate and commendable attitude in-line with our player values of Compete, Commit and Respect</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0F8A8C0F" w:rsidR="009452A3" w:rsidRPr="007F5585" w:rsidRDefault="007F5585" w:rsidP="007F5585">
            <w:pPr>
              <w:rPr>
                <w:rFonts w:ascii="Myriad Pro" w:hAnsi="Myriad Pro"/>
                <w:color w:val="000000" w:themeColor="text1"/>
                <w:sz w:val="22"/>
                <w:szCs w:val="20"/>
                <w:lang w:val="en-US"/>
              </w:rPr>
            </w:pPr>
            <w:r w:rsidRPr="007F5585">
              <w:rPr>
                <w:rFonts w:ascii="Myriad Pro" w:hAnsi="Myriad Pro"/>
                <w:color w:val="000000" w:themeColor="text1"/>
                <w:sz w:val="22"/>
                <w:szCs w:val="20"/>
                <w:lang w:val="en-US"/>
              </w:rPr>
              <w:t>Has complied with all rules, national policies, and conduct stan</w:t>
            </w:r>
            <w:r>
              <w:rPr>
                <w:rFonts w:ascii="Myriad Pro" w:hAnsi="Myriad Pro"/>
                <w:color w:val="000000" w:themeColor="text1"/>
                <w:sz w:val="22"/>
                <w:szCs w:val="20"/>
                <w:lang w:val="en-US"/>
              </w:rPr>
              <w:t xml:space="preserve">dards set by Tennis Australia. </w:t>
            </w:r>
          </w:p>
        </w:tc>
      </w:tr>
    </w:tbl>
    <w:p w14:paraId="4527FFB3" w14:textId="77777777" w:rsidR="006235FF" w:rsidRPr="0024120B" w:rsidRDefault="006235FF" w:rsidP="006235FF">
      <w:pPr>
        <w:rPr>
          <w:sz w:val="16"/>
          <w:szCs w:val="16"/>
        </w:rPr>
      </w:pPr>
    </w:p>
    <w:p w14:paraId="6563A77E" w14:textId="49E1804A" w:rsidR="001B6860" w:rsidRDefault="001B6860" w:rsidP="00E1753E">
      <w:pPr>
        <w:pStyle w:val="BodyCopy"/>
        <w:rPr>
          <w:rFonts w:cs="Helvetica"/>
          <w:color w:val="auto"/>
          <w:szCs w:val="22"/>
        </w:rPr>
      </w:pPr>
      <w:r>
        <w:rPr>
          <w:rFonts w:cs="Helvetica"/>
          <w:color w:val="auto"/>
          <w:szCs w:val="22"/>
        </w:rPr>
        <w:t xml:space="preserve">The Junior Athlete of the Year – Male and Female Finalists are selected by a panel consisting of Tennis Australia and Tennis Victoria staff based on the above eligibility and assessment criteria. No nominations need to be submitted by the athletes. </w:t>
      </w:r>
    </w:p>
    <w:p w14:paraId="7615573E" w14:textId="77777777" w:rsidR="001B6860" w:rsidRDefault="001B6860" w:rsidP="00E1753E">
      <w:pPr>
        <w:pStyle w:val="BodyCopy"/>
        <w:rPr>
          <w:rFonts w:cs="Helvetica"/>
          <w:color w:val="auto"/>
          <w:szCs w:val="22"/>
        </w:rPr>
      </w:pPr>
    </w:p>
    <w:p w14:paraId="79FFEC87" w14:textId="33621644" w:rsidR="00E1753E" w:rsidRPr="002F37A1" w:rsidRDefault="00E1753E" w:rsidP="00E1753E">
      <w:pPr>
        <w:pStyle w:val="BodyCopy"/>
        <w:rPr>
          <w:color w:val="auto"/>
          <w:szCs w:val="22"/>
        </w:rPr>
      </w:pPr>
      <w:r w:rsidRPr="002F37A1">
        <w:rPr>
          <w:color w:val="auto"/>
          <w:szCs w:val="22"/>
        </w:rPr>
        <w:t>All decisions in relation to the 20</w:t>
      </w:r>
      <w:r w:rsidR="001B6860">
        <w:rPr>
          <w:color w:val="auto"/>
          <w:szCs w:val="22"/>
        </w:rPr>
        <w:t>21</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2A67DD28" w14:textId="77777777" w:rsidR="001B6860" w:rsidRPr="001B6860" w:rsidRDefault="001B6860" w:rsidP="001B6860">
      <w:pPr>
        <w:pStyle w:val="BodyCopy"/>
        <w:numPr>
          <w:ilvl w:val="0"/>
          <w:numId w:val="17"/>
        </w:numPr>
        <w:rPr>
          <w:color w:val="auto"/>
        </w:rPr>
      </w:pPr>
      <w:r w:rsidRPr="001B6860">
        <w:rPr>
          <w:color w:val="auto"/>
        </w:rPr>
        <w:t xml:space="preserve">The award period is 1 August 2019 – 31 August 2021 </w:t>
      </w:r>
    </w:p>
    <w:p w14:paraId="48366609" w14:textId="77777777" w:rsidR="001B6860" w:rsidRPr="001B6860" w:rsidRDefault="001B6860" w:rsidP="001B6860">
      <w:pPr>
        <w:pStyle w:val="BodyCopy"/>
        <w:numPr>
          <w:ilvl w:val="0"/>
          <w:numId w:val="17"/>
        </w:numPr>
        <w:rPr>
          <w:color w:val="auto"/>
        </w:rPr>
      </w:pPr>
      <w:r w:rsidRPr="001B6860">
        <w:rPr>
          <w:color w:val="auto"/>
        </w:rPr>
        <w:t>All finalists will be notified in writing on Thursday 16 September 2021</w:t>
      </w:r>
    </w:p>
    <w:p w14:paraId="69F54B85" w14:textId="106F8931" w:rsidR="001B6860" w:rsidRPr="001B6860" w:rsidRDefault="001B6860" w:rsidP="001B6860">
      <w:pPr>
        <w:pStyle w:val="BodyCopy"/>
        <w:numPr>
          <w:ilvl w:val="0"/>
          <w:numId w:val="17"/>
        </w:numPr>
        <w:rPr>
          <w:color w:val="auto"/>
        </w:rPr>
      </w:pPr>
      <w:r w:rsidRPr="001B6860">
        <w:rPr>
          <w:color w:val="auto"/>
        </w:rPr>
        <w:t>Awards will be presented at the Victoria</w:t>
      </w:r>
      <w:r w:rsidR="00DA1E92">
        <w:rPr>
          <w:color w:val="auto"/>
        </w:rPr>
        <w:t>n Tennis</w:t>
      </w:r>
      <w:r w:rsidRPr="001B6860">
        <w:rPr>
          <w:color w:val="auto"/>
        </w:rPr>
        <w:t xml:space="preserve"> Awards on </w:t>
      </w:r>
      <w:r w:rsidR="00DA1E92">
        <w:rPr>
          <w:color w:val="auto"/>
        </w:rPr>
        <w:t>Tuesday 19 October</w:t>
      </w:r>
      <w:r w:rsidR="00832428">
        <w:rPr>
          <w:color w:val="auto"/>
        </w:rPr>
        <w:t xml:space="preserve"> 2021</w:t>
      </w:r>
    </w:p>
    <w:p w14:paraId="5C3E0CEA" w14:textId="77777777" w:rsidR="00E1753E" w:rsidRPr="00471BCD" w:rsidRDefault="00E1753E" w:rsidP="00E1753E">
      <w:pPr>
        <w:pStyle w:val="BodyCopy"/>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02346A08" w14:textId="2A7BB0F5" w:rsidR="00723769" w:rsidRPr="0082292A" w:rsidRDefault="00723769" w:rsidP="00723769">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sidR="0090019F">
        <w:rPr>
          <w:rFonts w:ascii="Myriad Pro" w:hAnsi="Myriad Pro"/>
          <w:sz w:val="22"/>
          <w:szCs w:val="20"/>
          <w:lang w:val="en-US"/>
        </w:rPr>
        <w:t xml:space="preserve"> </w:t>
      </w:r>
    </w:p>
    <w:p w14:paraId="2FD45A12" w14:textId="77777777" w:rsidR="00723769" w:rsidRPr="0082292A" w:rsidRDefault="00723769" w:rsidP="00723769">
      <w:pPr>
        <w:rPr>
          <w:rFonts w:ascii="Myriad Pro" w:hAnsi="Myriad Pro"/>
          <w:sz w:val="22"/>
          <w:szCs w:val="20"/>
          <w:lang w:val="en-US"/>
        </w:rPr>
      </w:pPr>
    </w:p>
    <w:p w14:paraId="009041FB" w14:textId="3447635D" w:rsidR="00723769" w:rsidRDefault="00723769" w:rsidP="00723769">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7F5585">
        <w:rPr>
          <w:rFonts w:ascii="Myriad Pro" w:hAnsi="Myriad Pro"/>
          <w:sz w:val="22"/>
          <w:szCs w:val="20"/>
          <w:lang w:val="en-US"/>
        </w:rPr>
        <w:t>Junior Athlete of the Year</w:t>
      </w:r>
      <w:r w:rsidRPr="0082292A">
        <w:rPr>
          <w:rFonts w:ascii="Myriad Pro" w:hAnsi="Myriad Pro"/>
          <w:sz w:val="22"/>
          <w:szCs w:val="20"/>
          <w:lang w:val="en-US"/>
        </w:rPr>
        <w:t xml:space="preserve"> a</w:t>
      </w:r>
      <w:r>
        <w:rPr>
          <w:rFonts w:ascii="Myriad Pro" w:hAnsi="Myriad Pro"/>
          <w:sz w:val="22"/>
          <w:szCs w:val="20"/>
          <w:lang w:val="en-US"/>
        </w:rPr>
        <w:t>ward to be presented at the 20</w:t>
      </w:r>
      <w:r w:rsidR="001B6860">
        <w:rPr>
          <w:rFonts w:ascii="Myriad Pro" w:hAnsi="Myriad Pro"/>
          <w:sz w:val="22"/>
          <w:szCs w:val="20"/>
          <w:lang w:val="en-US"/>
        </w:rPr>
        <w:t>21</w:t>
      </w:r>
      <w:r w:rsidRPr="0082292A">
        <w:rPr>
          <w:rFonts w:ascii="Myriad Pro" w:hAnsi="Myriad Pro"/>
          <w:sz w:val="22"/>
          <w:szCs w:val="20"/>
          <w:lang w:val="en-US"/>
        </w:rPr>
        <w:t xml:space="preserve"> Newcombe Medal. </w:t>
      </w:r>
    </w:p>
    <w:p w14:paraId="393FF1B5" w14:textId="77777777" w:rsidR="00723769" w:rsidRPr="0082292A" w:rsidRDefault="00723769" w:rsidP="00723769">
      <w:pPr>
        <w:rPr>
          <w:rFonts w:ascii="Myriad Pro" w:hAnsi="Myriad Pro"/>
          <w:sz w:val="22"/>
          <w:szCs w:val="20"/>
          <w:lang w:val="en-US"/>
        </w:rPr>
      </w:pPr>
    </w:p>
    <w:p w14:paraId="311BF041" w14:textId="7439F953" w:rsidR="0090019F" w:rsidRPr="00167021" w:rsidRDefault="00DA1E92" w:rsidP="00785827">
      <w:r>
        <w:rPr>
          <w:rFonts w:ascii="Myriad Pro" w:hAnsi="Myriad Pro" w:cs="Calibri"/>
          <w:sz w:val="22"/>
          <w:szCs w:val="22"/>
        </w:rPr>
        <w:t>Finalists will be entitled to two (2) free of charge tickets to attend the event. Further tickets will be available for purchase subject to capacity.</w:t>
      </w:r>
    </w:p>
    <w:sectPr w:rsidR="0090019F" w:rsidRPr="00167021" w:rsidSect="006235FF">
      <w:headerReference w:type="even" r:id="rId9"/>
      <w:headerReference w:type="default" r:id="rId10"/>
      <w:footerReference w:type="default" r:id="rId11"/>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447EEAC7" w:rsidR="006235FF" w:rsidRDefault="0074065D" w:rsidP="0087704D">
            <w:pPr>
              <w:pStyle w:val="BodyCopy"/>
            </w:pPr>
            <w:r>
              <w:t>20</w:t>
            </w:r>
            <w:r w:rsidR="000A2859">
              <w:t>21</w:t>
            </w:r>
            <w:r w:rsidR="00E33A2C">
              <w:t xml:space="preserve"> </w:t>
            </w:r>
            <w:r w:rsidR="006235FF">
              <w:t xml:space="preserve">Victorian Tennis Awards – </w:t>
            </w:r>
            <w:r w:rsidR="0087704D">
              <w:t>Junior Athlete of the Year – Male or Female</w:t>
            </w:r>
            <w:r w:rsidR="0087704D">
              <w:tab/>
            </w:r>
            <w:r w:rsidR="0087704D">
              <w:tab/>
            </w:r>
            <w:r w:rsidR="0087704D">
              <w:tab/>
            </w:r>
            <w:r w:rsidR="00E33A2C">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167021">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167021">
              <w:rPr>
                <w:noProof/>
              </w:rPr>
              <w:t>1</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534668BE" w:rsidR="00785827" w:rsidRDefault="009D1F88">
    <w:pPr>
      <w:pStyle w:val="Header"/>
    </w:pPr>
    <w:r>
      <w:rPr>
        <w:noProof/>
      </w:rPr>
      <w:drawing>
        <wp:inline distT="0" distB="0" distL="0" distR="0" wp14:anchorId="4F2D1D1C" wp14:editId="0A4DD378">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F1895"/>
    <w:multiLevelType w:val="hybridMultilevel"/>
    <w:tmpl w:val="8EB0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BFFA5B18"/>
    <w:lvl w:ilvl="0" w:tplc="0422D3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07D09"/>
    <w:multiLevelType w:val="hybridMultilevel"/>
    <w:tmpl w:val="6D90959A"/>
    <w:lvl w:ilvl="0" w:tplc="0C090001">
      <w:start w:val="1"/>
      <w:numFmt w:val="bullet"/>
      <w:lvlText w:val=""/>
      <w:lvlJc w:val="left"/>
      <w:pPr>
        <w:ind w:left="720" w:hanging="360"/>
      </w:pPr>
      <w:rPr>
        <w:rFonts w:ascii="Symbol" w:hAnsi="Symbol" w:hint="default"/>
      </w:rPr>
    </w:lvl>
    <w:lvl w:ilvl="1" w:tplc="1A745A66">
      <w:start w:val="18"/>
      <w:numFmt w:val="bullet"/>
      <w:lvlText w:val="•"/>
      <w:lvlJc w:val="left"/>
      <w:pPr>
        <w:ind w:left="1440" w:hanging="360"/>
      </w:pPr>
      <w:rPr>
        <w:rFonts w:ascii="Myriad Pro" w:eastAsia="Times New Roman" w:hAnsi="Myriad Pr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5"/>
  </w:num>
  <w:num w:numId="5">
    <w:abstractNumId w:val="4"/>
  </w:num>
  <w:num w:numId="6">
    <w:abstractNumId w:val="13"/>
  </w:num>
  <w:num w:numId="7">
    <w:abstractNumId w:val="3"/>
  </w:num>
  <w:num w:numId="8">
    <w:abstractNumId w:val="11"/>
  </w:num>
  <w:num w:numId="9">
    <w:abstractNumId w:val="8"/>
  </w:num>
  <w:num w:numId="10">
    <w:abstractNumId w:val="10"/>
  </w:num>
  <w:num w:numId="11">
    <w:abstractNumId w:val="7"/>
  </w:num>
  <w:num w:numId="12">
    <w:abstractNumId w:val="6"/>
  </w:num>
  <w:num w:numId="13">
    <w:abstractNumId w:val="15"/>
  </w:num>
  <w:num w:numId="14">
    <w:abstractNumId w:val="0"/>
  </w:num>
  <w:num w:numId="15">
    <w:abstractNumId w:val="1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87"/>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804AB"/>
    <w:rsid w:val="00096CFC"/>
    <w:rsid w:val="000A2859"/>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021"/>
    <w:rsid w:val="00167193"/>
    <w:rsid w:val="00174827"/>
    <w:rsid w:val="001770C5"/>
    <w:rsid w:val="001B6860"/>
    <w:rsid w:val="001C3ABC"/>
    <w:rsid w:val="001C4A65"/>
    <w:rsid w:val="001E5461"/>
    <w:rsid w:val="001E5656"/>
    <w:rsid w:val="001F3FF8"/>
    <w:rsid w:val="0024120B"/>
    <w:rsid w:val="002424AC"/>
    <w:rsid w:val="00243471"/>
    <w:rsid w:val="00261FA3"/>
    <w:rsid w:val="00292507"/>
    <w:rsid w:val="002A707E"/>
    <w:rsid w:val="002D0D13"/>
    <w:rsid w:val="00320C6E"/>
    <w:rsid w:val="0032622F"/>
    <w:rsid w:val="0037570A"/>
    <w:rsid w:val="00382BC5"/>
    <w:rsid w:val="003946EC"/>
    <w:rsid w:val="00394788"/>
    <w:rsid w:val="003C0D92"/>
    <w:rsid w:val="003C4A52"/>
    <w:rsid w:val="003E3737"/>
    <w:rsid w:val="0040334E"/>
    <w:rsid w:val="00445C4A"/>
    <w:rsid w:val="00454DCF"/>
    <w:rsid w:val="00464A32"/>
    <w:rsid w:val="004956B4"/>
    <w:rsid w:val="005117BB"/>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43BE"/>
    <w:rsid w:val="006806EE"/>
    <w:rsid w:val="00686A8B"/>
    <w:rsid w:val="006E3048"/>
    <w:rsid w:val="00710E8A"/>
    <w:rsid w:val="00722BD6"/>
    <w:rsid w:val="00723769"/>
    <w:rsid w:val="007248D4"/>
    <w:rsid w:val="00725810"/>
    <w:rsid w:val="0074065D"/>
    <w:rsid w:val="00754370"/>
    <w:rsid w:val="007643BD"/>
    <w:rsid w:val="00771C29"/>
    <w:rsid w:val="007766FE"/>
    <w:rsid w:val="00785827"/>
    <w:rsid w:val="007D75E1"/>
    <w:rsid w:val="007F5585"/>
    <w:rsid w:val="0081152F"/>
    <w:rsid w:val="00832428"/>
    <w:rsid w:val="00855EA4"/>
    <w:rsid w:val="0087704D"/>
    <w:rsid w:val="00893887"/>
    <w:rsid w:val="008A1F0D"/>
    <w:rsid w:val="008B2CA6"/>
    <w:rsid w:val="008B5B1B"/>
    <w:rsid w:val="0090019F"/>
    <w:rsid w:val="00900739"/>
    <w:rsid w:val="00907CC3"/>
    <w:rsid w:val="0091311D"/>
    <w:rsid w:val="00917856"/>
    <w:rsid w:val="0093022B"/>
    <w:rsid w:val="009452A3"/>
    <w:rsid w:val="009520D7"/>
    <w:rsid w:val="0095453B"/>
    <w:rsid w:val="009704C9"/>
    <w:rsid w:val="009C6D78"/>
    <w:rsid w:val="009D1F88"/>
    <w:rsid w:val="009D2365"/>
    <w:rsid w:val="00A07252"/>
    <w:rsid w:val="00A17F19"/>
    <w:rsid w:val="00A23ABA"/>
    <w:rsid w:val="00A252EB"/>
    <w:rsid w:val="00A612D6"/>
    <w:rsid w:val="00AF28F0"/>
    <w:rsid w:val="00AF48E9"/>
    <w:rsid w:val="00B12BFC"/>
    <w:rsid w:val="00B24F20"/>
    <w:rsid w:val="00B579B0"/>
    <w:rsid w:val="00B7069C"/>
    <w:rsid w:val="00B90637"/>
    <w:rsid w:val="00BA240E"/>
    <w:rsid w:val="00BC4B40"/>
    <w:rsid w:val="00BD3E21"/>
    <w:rsid w:val="00BD67A9"/>
    <w:rsid w:val="00BF352B"/>
    <w:rsid w:val="00BF7593"/>
    <w:rsid w:val="00C207A4"/>
    <w:rsid w:val="00C2448F"/>
    <w:rsid w:val="00C67CF4"/>
    <w:rsid w:val="00C715AF"/>
    <w:rsid w:val="00C8641A"/>
    <w:rsid w:val="00CC04DD"/>
    <w:rsid w:val="00CC16FC"/>
    <w:rsid w:val="00CC2E06"/>
    <w:rsid w:val="00D31015"/>
    <w:rsid w:val="00D32882"/>
    <w:rsid w:val="00D40E53"/>
    <w:rsid w:val="00D45366"/>
    <w:rsid w:val="00D86B90"/>
    <w:rsid w:val="00DA1E92"/>
    <w:rsid w:val="00DB7B92"/>
    <w:rsid w:val="00DD5DF4"/>
    <w:rsid w:val="00DD7B74"/>
    <w:rsid w:val="00DF7ECC"/>
    <w:rsid w:val="00E11455"/>
    <w:rsid w:val="00E1753E"/>
    <w:rsid w:val="00E33A2C"/>
    <w:rsid w:val="00E46C01"/>
    <w:rsid w:val="00E7385D"/>
    <w:rsid w:val="00E96631"/>
    <w:rsid w:val="00EA1190"/>
    <w:rsid w:val="00EE2B61"/>
    <w:rsid w:val="00EE30F5"/>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1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787">
      <w:bodyDiv w:val="1"/>
      <w:marLeft w:val="0"/>
      <w:marRight w:val="0"/>
      <w:marTop w:val="0"/>
      <w:marBottom w:val="0"/>
      <w:divBdr>
        <w:top w:val="none" w:sz="0" w:space="0" w:color="auto"/>
        <w:left w:val="none" w:sz="0" w:space="0" w:color="auto"/>
        <w:bottom w:val="none" w:sz="0" w:space="0" w:color="auto"/>
        <w:right w:val="none" w:sz="0" w:space="0" w:color="auto"/>
      </w:divBdr>
    </w:div>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naments.tennis.com.au/ranking/ranking.aspx?rid=1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2535-605F-4A86-8DF3-15AD7169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1952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6</cp:revision>
  <cp:lastPrinted>2019-07-09T05:59:00Z</cp:lastPrinted>
  <dcterms:created xsi:type="dcterms:W3CDTF">2021-07-27T00:21:00Z</dcterms:created>
  <dcterms:modified xsi:type="dcterms:W3CDTF">2021-08-03T07:14:00Z</dcterms:modified>
  <cp:category/>
</cp:coreProperties>
</file>