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77A0" w14:textId="77777777" w:rsidR="00B473AF" w:rsidRPr="00B473AF" w:rsidRDefault="00B473AF" w:rsidP="00B473AF">
      <w:pPr>
        <w:pStyle w:val="SubHeading"/>
        <w:jc w:val="center"/>
        <w:rPr>
          <w:color w:val="1C4996"/>
          <w:sz w:val="32"/>
          <w:lang w:val="en-AU"/>
        </w:rPr>
      </w:pPr>
      <w:r w:rsidRPr="00B473AF">
        <w:rPr>
          <w:bCs/>
          <w:iCs/>
          <w:color w:val="1C4996"/>
          <w:sz w:val="32"/>
          <w:lang w:val="en-AU"/>
        </w:rPr>
        <w:t>Most Outstanding Inclusion Initiative</w:t>
      </w:r>
    </w:p>
    <w:p w14:paraId="13875204" w14:textId="77777777" w:rsidR="0053201D" w:rsidRPr="00F04F13" w:rsidRDefault="0053201D" w:rsidP="0053201D">
      <w:pPr>
        <w:pStyle w:val="SubHeading"/>
        <w:jc w:val="center"/>
        <w:rPr>
          <w:b w:val="0"/>
          <w:bCs/>
          <w:color w:val="1C4996"/>
        </w:rPr>
      </w:pPr>
      <w:r w:rsidRPr="00F04F13">
        <w:rPr>
          <w:b w:val="0"/>
          <w:bCs/>
          <w:color w:val="1C4996"/>
        </w:rPr>
        <w:t>Award period: 1 September 2021 – 31 August 2022.</w:t>
      </w:r>
    </w:p>
    <w:p w14:paraId="6CB556E9" w14:textId="77777777" w:rsidR="00B473AF" w:rsidRDefault="00B473AF" w:rsidP="00B473AF">
      <w:pPr>
        <w:pStyle w:val="SubHeading"/>
        <w:rPr>
          <w:color w:val="1C4996"/>
        </w:rPr>
      </w:pPr>
    </w:p>
    <w:p w14:paraId="2AB76494" w14:textId="77777777" w:rsidR="006235FF" w:rsidRPr="00276F36" w:rsidRDefault="006235FF" w:rsidP="00B473AF">
      <w:pPr>
        <w:pStyle w:val="SubHeading"/>
        <w:rPr>
          <w:color w:val="1C4996"/>
        </w:rPr>
      </w:pPr>
      <w:r w:rsidRPr="00276F36">
        <w:rPr>
          <w:color w:val="1C4996"/>
        </w:rPr>
        <w:t>Eligibility criteria</w:t>
      </w:r>
    </w:p>
    <w:p w14:paraId="106EDC73" w14:textId="4C86C0E8" w:rsidR="00B473AF" w:rsidRPr="00B473AF" w:rsidRDefault="00B473AF" w:rsidP="00B473AF">
      <w:pPr>
        <w:rPr>
          <w:rFonts w:ascii="Calibri" w:eastAsia="Calibri" w:hAnsi="Calibri"/>
          <w:sz w:val="22"/>
          <w:szCs w:val="22"/>
        </w:rPr>
      </w:pPr>
      <w:r w:rsidRPr="00B473AF">
        <w:rPr>
          <w:rFonts w:ascii="Calibri" w:eastAsia="Calibri" w:hAnsi="Calibri"/>
          <w:sz w:val="22"/>
          <w:szCs w:val="22"/>
        </w:rPr>
        <w:t>This award is to recognise an outstanding inclusion initiative within the Victorian Tennis Community. Nominations are welcome from Tennis Victoria affiliates, partner programs of Tennis Victoria</w:t>
      </w:r>
      <w:r w:rsidR="00ED0D16">
        <w:rPr>
          <w:rFonts w:ascii="Calibri" w:eastAsia="Calibri" w:hAnsi="Calibri"/>
          <w:sz w:val="22"/>
          <w:szCs w:val="22"/>
        </w:rPr>
        <w:t>, Local Government Authorities</w:t>
      </w:r>
      <w:r w:rsidRPr="00B473AF">
        <w:rPr>
          <w:rFonts w:ascii="Calibri" w:eastAsia="Calibri" w:hAnsi="Calibri"/>
          <w:sz w:val="22"/>
          <w:szCs w:val="22"/>
        </w:rPr>
        <w:t xml:space="preserve"> or Tennis Australia qualified coaches</w:t>
      </w:r>
      <w:r w:rsidR="00DA7BCE">
        <w:rPr>
          <w:rFonts w:ascii="Calibri" w:eastAsia="Calibri" w:hAnsi="Calibri"/>
          <w:sz w:val="22"/>
          <w:szCs w:val="22"/>
        </w:rPr>
        <w:t>,</w:t>
      </w:r>
      <w:r w:rsidRPr="00B473AF">
        <w:rPr>
          <w:rFonts w:ascii="Calibri" w:eastAsia="Calibri" w:hAnsi="Calibri"/>
          <w:sz w:val="22"/>
          <w:szCs w:val="22"/>
        </w:rPr>
        <w:t xml:space="preserve"> who go above and beyond to create and support inclusive tennis environments for underrepresented* groups. </w:t>
      </w:r>
    </w:p>
    <w:p w14:paraId="080BF1BC" w14:textId="77777777" w:rsidR="00B473AF" w:rsidRPr="00B473AF" w:rsidRDefault="00B473AF" w:rsidP="00B473AF">
      <w:pPr>
        <w:rPr>
          <w:rFonts w:ascii="Calibri" w:eastAsia="Calibri" w:hAnsi="Calibri"/>
          <w:sz w:val="22"/>
          <w:szCs w:val="22"/>
        </w:rPr>
      </w:pPr>
    </w:p>
    <w:p w14:paraId="4D45777D" w14:textId="77777777" w:rsidR="00B473AF" w:rsidRPr="00B473AF" w:rsidRDefault="00B473AF" w:rsidP="00B473AF">
      <w:pPr>
        <w:rPr>
          <w:rFonts w:ascii="Calibri" w:eastAsia="Calibri" w:hAnsi="Calibri"/>
          <w:sz w:val="22"/>
          <w:szCs w:val="22"/>
        </w:rPr>
      </w:pPr>
      <w:r w:rsidRPr="00B473AF">
        <w:rPr>
          <w:rFonts w:ascii="Calibri" w:eastAsia="Calibri" w:hAnsi="Calibri"/>
          <w:sz w:val="22"/>
          <w:szCs w:val="22"/>
        </w:rPr>
        <w:t xml:space="preserve">*Underrepresented groups include but are not limited </w:t>
      </w:r>
      <w:proofErr w:type="gramStart"/>
      <w:r w:rsidRPr="00B473AF">
        <w:rPr>
          <w:rFonts w:ascii="Calibri" w:eastAsia="Calibri" w:hAnsi="Calibri"/>
          <w:sz w:val="22"/>
          <w:szCs w:val="22"/>
        </w:rPr>
        <w:t>to;</w:t>
      </w:r>
      <w:proofErr w:type="gramEnd"/>
    </w:p>
    <w:p w14:paraId="7D05C71B" w14:textId="5372C735" w:rsidR="00B473AF" w:rsidRPr="00B473AF" w:rsidRDefault="00B473AF" w:rsidP="00B473AF">
      <w:pPr>
        <w:numPr>
          <w:ilvl w:val="0"/>
          <w:numId w:val="18"/>
        </w:numPr>
        <w:contextualSpacing/>
        <w:rPr>
          <w:rFonts w:ascii="Calibri" w:eastAsia="Calibri" w:hAnsi="Calibri"/>
          <w:sz w:val="22"/>
          <w:szCs w:val="22"/>
        </w:rPr>
      </w:pPr>
      <w:r w:rsidRPr="1D5BEC16">
        <w:rPr>
          <w:rFonts w:ascii="Calibri" w:eastAsia="Calibri" w:hAnsi="Calibri"/>
          <w:sz w:val="22"/>
          <w:szCs w:val="22"/>
        </w:rPr>
        <w:t xml:space="preserve">People with a </w:t>
      </w:r>
      <w:r w:rsidR="00F97CEB" w:rsidRPr="1D5BEC16">
        <w:rPr>
          <w:rFonts w:ascii="Calibri" w:eastAsia="Calibri" w:hAnsi="Calibri"/>
          <w:sz w:val="22"/>
          <w:szCs w:val="22"/>
        </w:rPr>
        <w:t xml:space="preserve">physical and/or intellectual </w:t>
      </w:r>
      <w:r w:rsidRPr="1D5BEC16">
        <w:rPr>
          <w:rFonts w:ascii="Calibri" w:eastAsia="Calibri" w:hAnsi="Calibri"/>
          <w:sz w:val="22"/>
          <w:szCs w:val="22"/>
        </w:rPr>
        <w:t>disability</w:t>
      </w:r>
    </w:p>
    <w:p w14:paraId="61B448B3"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Culturally and Linguistically Diverse (CALD) communities</w:t>
      </w:r>
    </w:p>
    <w:p w14:paraId="645E141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People who identify as LGBTI+</w:t>
      </w:r>
    </w:p>
    <w:p w14:paraId="08366FEF"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Aboriginal or Torres Strait Islanders</w:t>
      </w:r>
    </w:p>
    <w:p w14:paraId="2B70DDA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 xml:space="preserve">Geographically isolated communities. </w:t>
      </w:r>
    </w:p>
    <w:p w14:paraId="46E46473" w14:textId="7A053C84" w:rsidR="00F44D3A" w:rsidRDefault="00F44D3A" w:rsidP="00B473AF">
      <w:pPr>
        <w:pStyle w:val="BodyText"/>
        <w:kinsoku w:val="0"/>
        <w:overflowPunct w:val="0"/>
        <w:spacing w:line="224" w:lineRule="exact"/>
        <w:rPr>
          <w:rFonts w:ascii="Myriad Pro" w:eastAsiaTheme="minorEastAsia" w:hAnsi="Myriad Pro" w:cs="Myriad Pro"/>
          <w:sz w:val="22"/>
          <w:szCs w:val="22"/>
        </w:rPr>
      </w:pPr>
    </w:p>
    <w:p w14:paraId="3D7A6F1E" w14:textId="77777777" w:rsidR="006235FF" w:rsidRPr="00276F36" w:rsidRDefault="006235FF" w:rsidP="006235FF">
      <w:pPr>
        <w:pStyle w:val="SubHeading"/>
        <w:rPr>
          <w:color w:val="1C4996"/>
        </w:rPr>
      </w:pPr>
      <w:r w:rsidRPr="00276F36">
        <w:rPr>
          <w:color w:val="1C4996"/>
        </w:rPr>
        <w:t>Selection Criteria</w:t>
      </w:r>
    </w:p>
    <w:p w14:paraId="1D059F74" w14:textId="77777777" w:rsidR="006235FF" w:rsidRPr="00C9314F" w:rsidRDefault="006235FF" w:rsidP="006235FF">
      <w:pPr>
        <w:rPr>
          <w:sz w:val="16"/>
          <w:szCs w:val="16"/>
        </w:rPr>
      </w:pPr>
    </w:p>
    <w:p w14:paraId="7BC2D88A" w14:textId="77777777" w:rsidR="006235FF" w:rsidRPr="009A60CC" w:rsidRDefault="006235FF" w:rsidP="006235FF">
      <w:pPr>
        <w:pStyle w:val="BodyCopy"/>
        <w:rPr>
          <w:color w:val="auto"/>
        </w:rPr>
      </w:pPr>
      <w:r w:rsidRPr="009A60CC">
        <w:rPr>
          <w:color w:val="auto"/>
        </w:rPr>
        <w:t xml:space="preserve">The selection panel will consider the following in assessing nominations: </w:t>
      </w:r>
    </w:p>
    <w:p w14:paraId="7CFA1732" w14:textId="77777777" w:rsidR="006235FF" w:rsidRPr="009A60CC"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10"/>
      </w:tblGrid>
      <w:tr w:rsidR="009D18BC" w:rsidRPr="009A60CC" w14:paraId="29F72C16" w14:textId="77777777" w:rsidTr="009D18BC">
        <w:tc>
          <w:tcPr>
            <w:tcW w:w="846" w:type="dxa"/>
          </w:tcPr>
          <w:p w14:paraId="22CD3E0D" w14:textId="4F07F786" w:rsidR="009D18BC" w:rsidRPr="009A60CC" w:rsidRDefault="009D18BC" w:rsidP="006235FF">
            <w:pPr>
              <w:pStyle w:val="BodyCopy"/>
              <w:rPr>
                <w:b/>
                <w:color w:val="auto"/>
              </w:rPr>
            </w:pPr>
            <w:r>
              <w:rPr>
                <w:b/>
                <w:color w:val="auto"/>
              </w:rPr>
              <w:t>No.</w:t>
            </w:r>
          </w:p>
        </w:tc>
        <w:tc>
          <w:tcPr>
            <w:tcW w:w="9610" w:type="dxa"/>
          </w:tcPr>
          <w:p w14:paraId="6927766D" w14:textId="25901047" w:rsidR="009D18BC" w:rsidRPr="009A60CC" w:rsidRDefault="009D18BC" w:rsidP="006235FF">
            <w:pPr>
              <w:pStyle w:val="BodyCopy"/>
              <w:rPr>
                <w:b/>
                <w:color w:val="auto"/>
              </w:rPr>
            </w:pPr>
            <w:r w:rsidRPr="009A60CC">
              <w:rPr>
                <w:b/>
                <w:color w:val="auto"/>
              </w:rPr>
              <w:t>Description</w:t>
            </w:r>
          </w:p>
        </w:tc>
      </w:tr>
      <w:tr w:rsidR="009D18BC" w:rsidRPr="009A60CC" w14:paraId="42BC21B8" w14:textId="77777777" w:rsidTr="009D18BC">
        <w:tc>
          <w:tcPr>
            <w:tcW w:w="846" w:type="dxa"/>
          </w:tcPr>
          <w:p w14:paraId="37FF11D0" w14:textId="7374387E" w:rsidR="009D18BC" w:rsidRPr="00B473AF" w:rsidRDefault="009867AD" w:rsidP="009D18BC">
            <w:pPr>
              <w:pStyle w:val="BodyCopy"/>
              <w:jc w:val="center"/>
              <w:rPr>
                <w:color w:val="auto"/>
              </w:rPr>
            </w:pPr>
            <w:r>
              <w:rPr>
                <w:color w:val="auto"/>
              </w:rPr>
              <w:t>1</w:t>
            </w:r>
          </w:p>
        </w:tc>
        <w:tc>
          <w:tcPr>
            <w:tcW w:w="9610" w:type="dxa"/>
          </w:tcPr>
          <w:p w14:paraId="12C8F718" w14:textId="1F5CC8EE" w:rsidR="009D18BC" w:rsidRPr="009A60CC" w:rsidRDefault="001E2EC9" w:rsidP="00F44D3A">
            <w:pPr>
              <w:pStyle w:val="BodyCopy"/>
              <w:rPr>
                <w:color w:val="auto"/>
              </w:rPr>
            </w:pPr>
            <w:r>
              <w:rPr>
                <w:color w:val="auto"/>
              </w:rPr>
              <w:t>M</w:t>
            </w:r>
            <w:r w:rsidR="009D18BC" w:rsidRPr="00B473AF">
              <w:rPr>
                <w:color w:val="auto"/>
              </w:rPr>
              <w:t>easurable benefits to the underrepresented group and to tennis in general</w:t>
            </w:r>
          </w:p>
        </w:tc>
      </w:tr>
      <w:tr w:rsidR="009D18BC" w:rsidRPr="009A60CC" w14:paraId="5F35575B" w14:textId="77777777" w:rsidTr="009D18BC">
        <w:tc>
          <w:tcPr>
            <w:tcW w:w="846" w:type="dxa"/>
          </w:tcPr>
          <w:p w14:paraId="76BDE134" w14:textId="230C1146" w:rsidR="009D18BC" w:rsidRPr="00B473AF" w:rsidRDefault="009867AD" w:rsidP="009D18BC">
            <w:pPr>
              <w:pStyle w:val="BodyCopy"/>
              <w:jc w:val="center"/>
              <w:rPr>
                <w:color w:val="auto"/>
              </w:rPr>
            </w:pPr>
            <w:r>
              <w:rPr>
                <w:color w:val="auto"/>
              </w:rPr>
              <w:t>2</w:t>
            </w:r>
          </w:p>
        </w:tc>
        <w:tc>
          <w:tcPr>
            <w:tcW w:w="9610" w:type="dxa"/>
          </w:tcPr>
          <w:p w14:paraId="62728A6D" w14:textId="1412750C" w:rsidR="009D18BC" w:rsidRPr="009A60CC" w:rsidRDefault="001E2EC9" w:rsidP="00F44D3A">
            <w:pPr>
              <w:pStyle w:val="BodyCopy"/>
              <w:rPr>
                <w:b/>
                <w:color w:val="auto"/>
              </w:rPr>
            </w:pPr>
            <w:r>
              <w:rPr>
                <w:color w:val="auto"/>
              </w:rPr>
              <w:t>P</w:t>
            </w:r>
            <w:r w:rsidR="009D18BC" w:rsidRPr="00B473AF">
              <w:rPr>
                <w:color w:val="auto"/>
              </w:rPr>
              <w:t>romotional activities undertaken prior, during and following the program</w:t>
            </w:r>
          </w:p>
        </w:tc>
      </w:tr>
      <w:tr w:rsidR="009D18BC" w:rsidRPr="009A60CC" w14:paraId="3DB412CF" w14:textId="77777777" w:rsidTr="009D18BC">
        <w:tc>
          <w:tcPr>
            <w:tcW w:w="846" w:type="dxa"/>
          </w:tcPr>
          <w:p w14:paraId="4D411D17" w14:textId="114C6B19" w:rsidR="009D18BC" w:rsidRPr="00B473AF" w:rsidRDefault="009867AD" w:rsidP="009D18BC">
            <w:pPr>
              <w:pStyle w:val="BodyCopy"/>
              <w:jc w:val="center"/>
              <w:rPr>
                <w:color w:val="auto"/>
              </w:rPr>
            </w:pPr>
            <w:r>
              <w:rPr>
                <w:color w:val="auto"/>
              </w:rPr>
              <w:t>3</w:t>
            </w:r>
          </w:p>
        </w:tc>
        <w:tc>
          <w:tcPr>
            <w:tcW w:w="9610" w:type="dxa"/>
          </w:tcPr>
          <w:p w14:paraId="6E1BDB2C" w14:textId="0159D7E9" w:rsidR="009D18BC" w:rsidRPr="009A60CC" w:rsidRDefault="001E2EC9" w:rsidP="006235FF">
            <w:pPr>
              <w:pStyle w:val="BodyCopy"/>
              <w:rPr>
                <w:b/>
                <w:color w:val="auto"/>
              </w:rPr>
            </w:pPr>
            <w:r>
              <w:rPr>
                <w:color w:val="auto"/>
              </w:rPr>
              <w:t>E</w:t>
            </w:r>
            <w:r w:rsidR="009D18BC" w:rsidRPr="00B473AF">
              <w:rPr>
                <w:color w:val="auto"/>
              </w:rPr>
              <w:t>ngagement from additional organisations/partners outside of tennis (</w:t>
            </w:r>
            <w:proofErr w:type="gramStart"/>
            <w:r w:rsidR="009D18BC" w:rsidRPr="00B473AF">
              <w:rPr>
                <w:color w:val="auto"/>
              </w:rPr>
              <w:t>e.g.</w:t>
            </w:r>
            <w:proofErr w:type="gramEnd"/>
            <w:r w:rsidR="009D18BC" w:rsidRPr="00B473AF">
              <w:rPr>
                <w:color w:val="auto"/>
              </w:rPr>
              <w:t xml:space="preserve"> advocate and representative groups, </w:t>
            </w:r>
            <w:proofErr w:type="spellStart"/>
            <w:r w:rsidR="009D18BC" w:rsidRPr="00B473AF">
              <w:rPr>
                <w:color w:val="auto"/>
              </w:rPr>
              <w:t>etc</w:t>
            </w:r>
            <w:proofErr w:type="spellEnd"/>
            <w:r w:rsidR="009D18BC" w:rsidRPr="00B473AF">
              <w:rPr>
                <w:color w:val="auto"/>
              </w:rPr>
              <w:t>)</w:t>
            </w:r>
          </w:p>
        </w:tc>
      </w:tr>
      <w:tr w:rsidR="009D18BC" w:rsidRPr="009A60CC" w14:paraId="5191224F" w14:textId="77777777" w:rsidTr="009D18BC">
        <w:tc>
          <w:tcPr>
            <w:tcW w:w="846" w:type="dxa"/>
          </w:tcPr>
          <w:p w14:paraId="37104503" w14:textId="098BD378" w:rsidR="009D18BC" w:rsidRPr="00B473AF" w:rsidRDefault="009867AD" w:rsidP="009D18BC">
            <w:pPr>
              <w:pStyle w:val="BodyCopy"/>
              <w:jc w:val="center"/>
              <w:rPr>
                <w:color w:val="auto"/>
              </w:rPr>
            </w:pPr>
            <w:r>
              <w:rPr>
                <w:color w:val="auto"/>
              </w:rPr>
              <w:t>4</w:t>
            </w:r>
          </w:p>
        </w:tc>
        <w:tc>
          <w:tcPr>
            <w:tcW w:w="9610" w:type="dxa"/>
          </w:tcPr>
          <w:p w14:paraId="26E8F1CE" w14:textId="277036E6" w:rsidR="009D18BC" w:rsidRPr="009A60CC" w:rsidRDefault="00440AC9" w:rsidP="00F44D3A">
            <w:pPr>
              <w:pStyle w:val="BodyCopy"/>
              <w:rPr>
                <w:color w:val="auto"/>
              </w:rPr>
            </w:pPr>
            <w:r>
              <w:rPr>
                <w:color w:val="auto"/>
              </w:rPr>
              <w:t>S</w:t>
            </w:r>
            <w:r w:rsidR="009D18BC" w:rsidRPr="00B473AF">
              <w:rPr>
                <w:color w:val="auto"/>
              </w:rPr>
              <w:t>ustainability of the program</w:t>
            </w:r>
          </w:p>
        </w:tc>
      </w:tr>
      <w:tr w:rsidR="009D18BC" w:rsidRPr="009A60CC" w14:paraId="5C0F2653" w14:textId="77777777" w:rsidTr="00440AC9">
        <w:trPr>
          <w:trHeight w:val="321"/>
        </w:trPr>
        <w:tc>
          <w:tcPr>
            <w:tcW w:w="846" w:type="dxa"/>
          </w:tcPr>
          <w:p w14:paraId="208E95F3" w14:textId="39B37721" w:rsidR="009867AD" w:rsidRPr="00B473AF" w:rsidRDefault="009867AD" w:rsidP="00440AC9">
            <w:pPr>
              <w:pStyle w:val="BodyCopy"/>
              <w:jc w:val="center"/>
              <w:rPr>
                <w:color w:val="auto"/>
              </w:rPr>
            </w:pPr>
            <w:r>
              <w:rPr>
                <w:color w:val="auto"/>
              </w:rPr>
              <w:t>5</w:t>
            </w:r>
          </w:p>
        </w:tc>
        <w:tc>
          <w:tcPr>
            <w:tcW w:w="9610" w:type="dxa"/>
          </w:tcPr>
          <w:p w14:paraId="3689B5C5" w14:textId="7F8225CE" w:rsidR="00440AC9" w:rsidRPr="009A60CC" w:rsidRDefault="009D18BC" w:rsidP="00F44D3A">
            <w:pPr>
              <w:pStyle w:val="BodyCopy"/>
              <w:rPr>
                <w:color w:val="auto"/>
              </w:rPr>
            </w:pPr>
            <w:r w:rsidRPr="00B473AF">
              <w:rPr>
                <w:color w:val="auto"/>
              </w:rPr>
              <w:t>The initiative provides a pathway into ongoing participation</w:t>
            </w:r>
          </w:p>
        </w:tc>
      </w:tr>
    </w:tbl>
    <w:p w14:paraId="4527FFB3" w14:textId="77777777" w:rsidR="006235FF" w:rsidRPr="009A60CC" w:rsidRDefault="006235FF" w:rsidP="006235FF">
      <w:pPr>
        <w:rPr>
          <w:sz w:val="16"/>
          <w:szCs w:val="16"/>
        </w:rPr>
      </w:pPr>
    </w:p>
    <w:p w14:paraId="72019D18" w14:textId="77777777" w:rsidR="00875D77" w:rsidRDefault="00875D77" w:rsidP="00875D77">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2B571C85" w14:textId="15BA16D3" w:rsidR="0082292A" w:rsidRPr="0082292A" w:rsidRDefault="0082292A" w:rsidP="0082292A">
      <w:pPr>
        <w:rPr>
          <w:rFonts w:ascii="Myriad Pro" w:hAnsi="Myriad Pro" w:cs="Helvetica"/>
          <w:color w:val="5F5F5F"/>
          <w:sz w:val="22"/>
          <w:szCs w:val="20"/>
          <w:lang w:val="en-US"/>
        </w:rPr>
      </w:pPr>
    </w:p>
    <w:p w14:paraId="47EDF61A" w14:textId="77777777" w:rsidR="0082292A" w:rsidRPr="0082292A" w:rsidRDefault="0082292A" w:rsidP="0082292A">
      <w:pPr>
        <w:rPr>
          <w:rFonts w:ascii="Myriad Pro" w:hAnsi="Myriad Pro" w:cs="Helvetica"/>
          <w:sz w:val="22"/>
          <w:szCs w:val="20"/>
          <w:lang w:val="en-US"/>
        </w:rPr>
      </w:pPr>
      <w:r w:rsidRPr="0082292A">
        <w:rPr>
          <w:rFonts w:ascii="Myriad Pro" w:hAnsi="Myriad Pro" w:cs="Helvetica"/>
          <w:b/>
          <w:sz w:val="22"/>
          <w:szCs w:val="20"/>
          <w:lang w:val="en-US"/>
        </w:rPr>
        <w:t xml:space="preserve">The nomination form on page 3 of this document </w:t>
      </w:r>
      <w:r w:rsidRPr="0082292A">
        <w:rPr>
          <w:rFonts w:ascii="Myriad Pro" w:hAnsi="Myriad Pro" w:cs="Helvetica"/>
          <w:b/>
          <w:sz w:val="22"/>
          <w:szCs w:val="20"/>
          <w:u w:val="single"/>
          <w:lang w:val="en-US"/>
        </w:rPr>
        <w:t>must</w:t>
      </w:r>
      <w:r w:rsidRPr="0082292A">
        <w:rPr>
          <w:rFonts w:ascii="Myriad Pro" w:hAnsi="Myriad Pro" w:cs="Helvetica"/>
          <w:b/>
          <w:sz w:val="22"/>
          <w:szCs w:val="20"/>
          <w:lang w:val="en-US"/>
        </w:rPr>
        <w:t xml:space="preserve"> be completed for your nomination to be assessed</w:t>
      </w:r>
      <w:r w:rsidRPr="0082292A">
        <w:rPr>
          <w:rFonts w:ascii="Myriad Pro" w:hAnsi="Myriad Pro" w:cs="Helvetica"/>
          <w:sz w:val="22"/>
          <w:szCs w:val="20"/>
          <w:lang w:val="en-US"/>
        </w:rPr>
        <w:t xml:space="preserve">. </w:t>
      </w:r>
    </w:p>
    <w:p w14:paraId="0F0730D8" w14:textId="77777777" w:rsidR="0082292A" w:rsidRPr="0082292A" w:rsidRDefault="0082292A" w:rsidP="0082292A">
      <w:pPr>
        <w:rPr>
          <w:rFonts w:ascii="Myriad Pro" w:hAnsi="Myriad Pro" w:cs="Helvetica"/>
          <w:sz w:val="16"/>
          <w:szCs w:val="16"/>
          <w:lang w:val="en-US"/>
        </w:rPr>
      </w:pPr>
    </w:p>
    <w:p w14:paraId="3759EB98" w14:textId="77777777" w:rsidR="00291A46" w:rsidRPr="002F37A1" w:rsidRDefault="00291A46" w:rsidP="00291A46">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0FAFF3FF" w14:textId="77777777" w:rsidR="00291A46" w:rsidRPr="002F37A1" w:rsidRDefault="00291A46" w:rsidP="00291A46">
      <w:pPr>
        <w:pStyle w:val="BodyCopy"/>
        <w:rPr>
          <w:color w:val="auto"/>
        </w:rPr>
      </w:pPr>
    </w:p>
    <w:p w14:paraId="6C3045F1" w14:textId="77777777" w:rsidR="00291A46" w:rsidRPr="002F37A1" w:rsidRDefault="00291A46" w:rsidP="00291A46">
      <w:pPr>
        <w:pStyle w:val="BodyCopy"/>
        <w:rPr>
          <w:color w:val="auto"/>
        </w:rPr>
      </w:pPr>
      <w:r w:rsidRPr="002F37A1">
        <w:rPr>
          <w:color w:val="auto"/>
        </w:rPr>
        <w:t>Tennis Victoria reserves the right to submit nominations for each award category.</w:t>
      </w:r>
    </w:p>
    <w:p w14:paraId="12F81342" w14:textId="77777777" w:rsidR="00291A46" w:rsidRPr="00723769" w:rsidRDefault="00291A46" w:rsidP="00291A46">
      <w:pPr>
        <w:pStyle w:val="BodyCopy"/>
        <w:rPr>
          <w:color w:val="auto"/>
        </w:rPr>
      </w:pPr>
      <w:r w:rsidRPr="002F37A1">
        <w:rPr>
          <w:color w:val="auto"/>
        </w:rPr>
        <w:tab/>
      </w:r>
    </w:p>
    <w:p w14:paraId="5207833F" w14:textId="77777777" w:rsidR="00291A46" w:rsidRPr="006A0686" w:rsidRDefault="00291A46" w:rsidP="00291A46">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All decisions are final, and no correspondence will be entered into.</w:t>
      </w:r>
    </w:p>
    <w:p w14:paraId="0542F18A" w14:textId="77777777" w:rsidR="00291A46" w:rsidRPr="00C9314F" w:rsidRDefault="00291A46" w:rsidP="00291A46">
      <w:pPr>
        <w:pStyle w:val="BodyCopy"/>
        <w:rPr>
          <w:sz w:val="16"/>
          <w:szCs w:val="16"/>
        </w:rPr>
      </w:pPr>
    </w:p>
    <w:p w14:paraId="7438F2F4" w14:textId="77777777" w:rsidR="00291A46" w:rsidRPr="00981DCF" w:rsidRDefault="00291A46" w:rsidP="00291A46">
      <w:pPr>
        <w:pStyle w:val="SubHeading"/>
        <w:rPr>
          <w:color w:val="1C4996"/>
        </w:rPr>
      </w:pPr>
      <w:r w:rsidRPr="00981DCF">
        <w:rPr>
          <w:color w:val="1C4996"/>
        </w:rPr>
        <w:t>Timeline</w:t>
      </w:r>
    </w:p>
    <w:p w14:paraId="47CD60D8" w14:textId="77777777" w:rsidR="00291A46" w:rsidRPr="00C9314F" w:rsidRDefault="00291A46" w:rsidP="00291A46">
      <w:pPr>
        <w:pStyle w:val="Subheadings"/>
        <w:jc w:val="both"/>
        <w:rPr>
          <w:sz w:val="16"/>
          <w:szCs w:val="16"/>
        </w:rPr>
      </w:pPr>
    </w:p>
    <w:p w14:paraId="2D090F05" w14:textId="77777777" w:rsidR="00291A46" w:rsidRPr="00EF3082" w:rsidRDefault="00291A46" w:rsidP="00291A46">
      <w:pPr>
        <w:pStyle w:val="BodyCopy"/>
        <w:numPr>
          <w:ilvl w:val="0"/>
          <w:numId w:val="11"/>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4F91F068" w14:textId="77777777" w:rsidR="00291A46" w:rsidRPr="00EF3082" w:rsidRDefault="00291A46" w:rsidP="00291A46">
      <w:pPr>
        <w:pStyle w:val="BodyCopy"/>
        <w:numPr>
          <w:ilvl w:val="0"/>
          <w:numId w:val="11"/>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2CC0AB76" w14:textId="77777777" w:rsidR="00291A46" w:rsidRPr="00EF3082" w:rsidRDefault="00291A46" w:rsidP="00291A46">
      <w:pPr>
        <w:pStyle w:val="BodyCopy"/>
        <w:numPr>
          <w:ilvl w:val="0"/>
          <w:numId w:val="11"/>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767E93FF" w14:textId="77777777" w:rsidR="00291A46" w:rsidRPr="00EF3082" w:rsidRDefault="00291A46" w:rsidP="00291A46">
      <w:pPr>
        <w:pStyle w:val="BodyCopy"/>
        <w:numPr>
          <w:ilvl w:val="0"/>
          <w:numId w:val="11"/>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71009E70" w14:textId="77777777" w:rsidR="00291A46" w:rsidRPr="003F1A3B" w:rsidRDefault="00291A46" w:rsidP="00291A46">
      <w:pPr>
        <w:pStyle w:val="BodyCopy"/>
        <w:numPr>
          <w:ilvl w:val="0"/>
          <w:numId w:val="11"/>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14:paraId="3EC7E71E" w14:textId="77777777" w:rsidR="0082292A" w:rsidRPr="0082292A" w:rsidRDefault="0082292A" w:rsidP="0082292A">
      <w:pPr>
        <w:rPr>
          <w:rFonts w:ascii="Myriad Pro" w:hAnsi="Myriad Pro"/>
          <w:color w:val="5F5F5F"/>
          <w:sz w:val="22"/>
          <w:szCs w:val="20"/>
          <w:lang w:val="en-US"/>
        </w:rPr>
      </w:pPr>
    </w:p>
    <w:p w14:paraId="15FA33DB" w14:textId="77777777" w:rsidR="0082292A" w:rsidRPr="0082292A" w:rsidRDefault="0082292A" w:rsidP="0082292A">
      <w:pPr>
        <w:outlineLvl w:val="0"/>
        <w:rPr>
          <w:rFonts w:ascii="Myriad Pro" w:hAnsi="Myriad Pro"/>
          <w:b/>
          <w:i/>
          <w:color w:val="1C4996"/>
          <w:lang w:val="en-US"/>
        </w:rPr>
      </w:pPr>
      <w:r w:rsidRPr="0082292A">
        <w:rPr>
          <w:rFonts w:ascii="Myriad Pro" w:hAnsi="Myriad Pro"/>
          <w:b/>
          <w:i/>
          <w:color w:val="1C4996"/>
          <w:lang w:val="en-US"/>
        </w:rPr>
        <w:t>Requirements of award recipients</w:t>
      </w:r>
    </w:p>
    <w:p w14:paraId="3AA416C0" w14:textId="77777777" w:rsidR="0082292A" w:rsidRPr="0082292A" w:rsidRDefault="0082292A" w:rsidP="0082292A">
      <w:pPr>
        <w:jc w:val="both"/>
        <w:outlineLvl w:val="0"/>
        <w:rPr>
          <w:rFonts w:ascii="Myriad Pro" w:hAnsi="Myriad Pro"/>
          <w:b/>
          <w:i/>
          <w:color w:val="0091D2"/>
          <w:sz w:val="16"/>
          <w:szCs w:val="16"/>
        </w:rPr>
      </w:pPr>
    </w:p>
    <w:p w14:paraId="44099473"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p>
    <w:p w14:paraId="3E90CB4E" w14:textId="77777777" w:rsidR="0082292A" w:rsidRPr="0082292A" w:rsidRDefault="0082292A" w:rsidP="0082292A">
      <w:pPr>
        <w:rPr>
          <w:rFonts w:ascii="Myriad Pro" w:hAnsi="Myriad Pro"/>
          <w:sz w:val="22"/>
          <w:szCs w:val="20"/>
          <w:lang w:val="en-US"/>
        </w:rPr>
      </w:pPr>
    </w:p>
    <w:p w14:paraId="3C30510B" w14:textId="2751B46F" w:rsidR="008C2CE2" w:rsidRPr="008C2CE2" w:rsidRDefault="003D14F8" w:rsidP="008C2CE2">
      <w:pPr>
        <w:rPr>
          <w:rFonts w:ascii="Myriad Pro" w:hAnsi="Myriad Pro" w:cs="Myriad Pro"/>
          <w:b/>
          <w:bCs/>
          <w:i/>
          <w:iCs/>
          <w:color w:val="0092D2"/>
          <w:sz w:val="28"/>
          <w:lang w:eastAsia="en-AU"/>
        </w:rPr>
      </w:pPr>
      <w:r>
        <w:rPr>
          <w:rFonts w:ascii="Myriad Pro" w:hAnsi="Myriad Pro" w:cs="Calibri"/>
          <w:sz w:val="22"/>
          <w:szCs w:val="22"/>
        </w:rPr>
        <w:t xml:space="preserve">Finalists will be entitled to two (2) free of charge tickets to attend the event. Further tickets will be available for purchase subject to capacity. </w:t>
      </w:r>
      <w:r w:rsidR="0082292A">
        <w:rPr>
          <w:rFonts w:ascii="Myriad Pro" w:hAnsi="Myriad Pro" w:cs="Myriad Pro"/>
          <w:b/>
          <w:bCs/>
          <w:i/>
          <w:iCs/>
          <w:color w:val="0092D2"/>
          <w:sz w:val="28"/>
          <w:lang w:eastAsia="en-AU"/>
        </w:rPr>
        <w:br w:type="page"/>
      </w:r>
    </w:p>
    <w:p w14:paraId="725E0312" w14:textId="77777777" w:rsidR="00D21E2B" w:rsidRPr="00E7385D" w:rsidRDefault="00D21E2B" w:rsidP="00D21E2B">
      <w:pPr>
        <w:rPr>
          <w:rFonts w:ascii="Myriad Pro" w:hAnsi="Myriad Pro"/>
          <w:color w:val="5F5F5F"/>
          <w:sz w:val="22"/>
          <w:szCs w:val="20"/>
          <w:lang w:val="en-US"/>
        </w:rPr>
      </w:pPr>
      <w:r>
        <w:rPr>
          <w:rFonts w:ascii="Myriad Pro" w:hAnsi="Myriad Pro" w:cs="Myriad Pro"/>
          <w:b/>
          <w:bCs/>
          <w:i/>
          <w:iCs/>
          <w:color w:val="1C4996"/>
          <w:sz w:val="28"/>
          <w:lang w:eastAsia="en-AU"/>
        </w:rPr>
        <w:lastRenderedPageBreak/>
        <w:t>Nomination form</w:t>
      </w:r>
    </w:p>
    <w:p w14:paraId="1BA8C326" w14:textId="77777777" w:rsidR="00D21E2B" w:rsidRPr="00B24F20" w:rsidRDefault="00D21E2B" w:rsidP="00D21E2B">
      <w:pPr>
        <w:autoSpaceDE w:val="0"/>
        <w:autoSpaceDN w:val="0"/>
        <w:adjustRightInd w:val="0"/>
        <w:rPr>
          <w:rFonts w:ascii="Myriad Pro" w:hAnsi="Myriad Pro" w:cs="Myriad Pro"/>
          <w:b/>
          <w:bCs/>
          <w:i/>
          <w:iCs/>
          <w:color w:val="0092D2"/>
          <w:sz w:val="18"/>
          <w:lang w:eastAsia="en-AU"/>
        </w:rPr>
      </w:pPr>
    </w:p>
    <w:p w14:paraId="34535B27" w14:textId="77777777" w:rsidR="00D21E2B" w:rsidRPr="00293D1B" w:rsidRDefault="00D21E2B" w:rsidP="00D21E2B">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7CDCB28B" w14:textId="77777777" w:rsidR="00D21E2B" w:rsidRDefault="00D21E2B" w:rsidP="00D21E2B">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Please limit responses to strictly 200 words per criteria. Award judges will not assess nomination material which go outside of these parameters</w:t>
      </w:r>
      <w:r>
        <w:rPr>
          <w:rFonts w:ascii="Segoe UI" w:hAnsi="Segoe UI" w:cs="Segoe UI"/>
          <w:color w:val="242424"/>
          <w:sz w:val="22"/>
          <w:szCs w:val="22"/>
          <w:shd w:val="clear" w:color="auto" w:fill="FFFFFF"/>
        </w:rPr>
        <w:t>.</w:t>
      </w:r>
    </w:p>
    <w:p w14:paraId="39BA745C" w14:textId="77777777" w:rsidR="00D21E2B" w:rsidRDefault="00D21E2B" w:rsidP="00D21E2B">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D21E2B" w:rsidRPr="00293D1B" w14:paraId="2279BB02" w14:textId="77777777" w:rsidTr="00163CDE">
        <w:tc>
          <w:tcPr>
            <w:tcW w:w="1330" w:type="dxa"/>
          </w:tcPr>
          <w:p w14:paraId="410EBC9F" w14:textId="77777777" w:rsidR="00D21E2B" w:rsidRPr="00293D1B" w:rsidRDefault="00D21E2B" w:rsidP="00163CDE">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6D66F960" w14:textId="77777777" w:rsidR="00D21E2B" w:rsidRPr="00293D1B" w:rsidRDefault="00D21E2B" w:rsidP="00163CDE">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3307FB31" w14:textId="77777777" w:rsidR="00D21E2B" w:rsidRPr="00293D1B" w:rsidRDefault="00D21E2B" w:rsidP="00D21E2B">
      <w:pPr>
        <w:autoSpaceDE w:val="0"/>
        <w:autoSpaceDN w:val="0"/>
        <w:adjustRightInd w:val="0"/>
        <w:rPr>
          <w:rFonts w:ascii="Myriad Pro" w:hAnsi="Myriad Pro" w:cs="Myriad Pro"/>
          <w:b/>
          <w:iCs/>
          <w:sz w:val="22"/>
          <w:lang w:eastAsia="en-AU"/>
        </w:rPr>
      </w:pPr>
    </w:p>
    <w:p w14:paraId="543C5ADF" w14:textId="77777777" w:rsidR="00D21E2B" w:rsidRPr="00293D1B" w:rsidRDefault="00D21E2B" w:rsidP="00D21E2B">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2A76EF36" w14:textId="77777777" w:rsidR="00D21E2B" w:rsidRPr="00293D1B" w:rsidRDefault="00D21E2B" w:rsidP="00D21E2B">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D21E2B" w:rsidRPr="00293D1B" w14:paraId="78A0692C" w14:textId="77777777" w:rsidTr="00163CDE">
        <w:tc>
          <w:tcPr>
            <w:tcW w:w="8642" w:type="dxa"/>
          </w:tcPr>
          <w:p w14:paraId="2FC3A80F" w14:textId="77777777" w:rsidR="00D21E2B" w:rsidRPr="00293D1B" w:rsidRDefault="00D21E2B" w:rsidP="00163CDE">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00131F32" w14:textId="77777777" w:rsidR="00D21E2B" w:rsidRPr="00293D1B" w:rsidRDefault="00D21E2B" w:rsidP="00163CDE">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Yes / No</w:t>
            </w:r>
          </w:p>
        </w:tc>
      </w:tr>
    </w:tbl>
    <w:p w14:paraId="0C54363D" w14:textId="77777777" w:rsidR="009520D7" w:rsidRPr="009520D7" w:rsidRDefault="009520D7" w:rsidP="009520D7">
      <w:pPr>
        <w:rPr>
          <w:rFonts w:ascii="Myriad Pro" w:hAnsi="Myriad Pro"/>
          <w:color w:val="262626"/>
          <w:sz w:val="22"/>
          <w:lang w:val="en-US"/>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520D7" w:rsidRPr="009520D7" w14:paraId="709E1111" w14:textId="77777777" w:rsidTr="009867AD">
        <w:tc>
          <w:tcPr>
            <w:tcW w:w="675" w:type="dxa"/>
            <w:tcBorders>
              <w:top w:val="single" w:sz="8" w:space="0" w:color="auto"/>
              <w:left w:val="single" w:sz="8" w:space="0" w:color="auto"/>
              <w:bottom w:val="single" w:sz="8" w:space="0" w:color="auto"/>
              <w:right w:val="single" w:sz="8" w:space="0" w:color="auto"/>
            </w:tcBorders>
            <w:shd w:val="clear" w:color="auto" w:fill="000000"/>
          </w:tcPr>
          <w:p w14:paraId="15B18CCB"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772F7ED"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Description</w:t>
            </w:r>
          </w:p>
        </w:tc>
      </w:tr>
      <w:tr w:rsidR="009520D7" w:rsidRPr="009520D7" w14:paraId="004532F2" w14:textId="77777777" w:rsidTr="009867AD">
        <w:tc>
          <w:tcPr>
            <w:tcW w:w="675" w:type="dxa"/>
            <w:vMerge w:val="restart"/>
            <w:tcBorders>
              <w:top w:val="single" w:sz="8" w:space="0" w:color="auto"/>
              <w:left w:val="single" w:sz="8" w:space="0" w:color="auto"/>
              <w:right w:val="single" w:sz="8" w:space="0" w:color="auto"/>
            </w:tcBorders>
            <w:vAlign w:val="center"/>
          </w:tcPr>
          <w:p w14:paraId="7B01AE6F"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DE2DF" w14:textId="56831169" w:rsidR="009520D7" w:rsidRPr="0037570A" w:rsidRDefault="00ED0D16" w:rsidP="00F44D3A">
            <w:pPr>
              <w:spacing w:before="60" w:after="60"/>
              <w:rPr>
                <w:rFonts w:ascii="Myriad Pro" w:hAnsi="Myriad Pro"/>
                <w:sz w:val="22"/>
                <w:szCs w:val="22"/>
                <w:lang w:val="en-US"/>
              </w:rPr>
            </w:pPr>
            <w:r w:rsidRPr="00ED0D16">
              <w:rPr>
                <w:rFonts w:ascii="Myriad Pro" w:hAnsi="Myriad Pro"/>
                <w:sz w:val="22"/>
                <w:szCs w:val="20"/>
              </w:rPr>
              <w:t>Please describe the measurable benefits to the underrepresented groups.</w:t>
            </w:r>
          </w:p>
        </w:tc>
      </w:tr>
      <w:tr w:rsidR="009520D7" w:rsidRPr="009520D7" w14:paraId="505E3D7B" w14:textId="77777777" w:rsidTr="009867AD">
        <w:tc>
          <w:tcPr>
            <w:tcW w:w="675" w:type="dxa"/>
            <w:vMerge/>
            <w:tcBorders>
              <w:left w:val="single" w:sz="8" w:space="0" w:color="auto"/>
              <w:bottom w:val="single" w:sz="8" w:space="0" w:color="auto"/>
              <w:right w:val="single" w:sz="8" w:space="0" w:color="auto"/>
            </w:tcBorders>
            <w:vAlign w:val="center"/>
          </w:tcPr>
          <w:p w14:paraId="79C02EA6"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A941C" w14:textId="0ED122DE" w:rsidR="009520D7" w:rsidRDefault="009520D7" w:rsidP="009520D7">
            <w:pPr>
              <w:spacing w:before="60" w:after="60"/>
              <w:rPr>
                <w:rFonts w:ascii="Myriad Pro" w:hAnsi="Myriad Pro"/>
                <w:sz w:val="22"/>
                <w:szCs w:val="22"/>
                <w:lang w:val="en-US"/>
              </w:rPr>
            </w:pPr>
          </w:p>
          <w:p w14:paraId="0833574C" w14:textId="5A3FA0CA" w:rsidR="009867AD" w:rsidRDefault="009867AD" w:rsidP="009520D7">
            <w:pPr>
              <w:spacing w:before="60" w:after="60"/>
              <w:rPr>
                <w:rFonts w:ascii="Myriad Pro" w:hAnsi="Myriad Pro"/>
                <w:sz w:val="22"/>
                <w:szCs w:val="22"/>
                <w:lang w:val="en-US"/>
              </w:rPr>
            </w:pPr>
          </w:p>
          <w:p w14:paraId="560854F3" w14:textId="77777777" w:rsidR="009867AD" w:rsidRPr="0037570A" w:rsidRDefault="009867AD" w:rsidP="009520D7">
            <w:pPr>
              <w:spacing w:before="60" w:after="60"/>
              <w:rPr>
                <w:rFonts w:ascii="Myriad Pro" w:hAnsi="Myriad Pro"/>
                <w:sz w:val="22"/>
                <w:szCs w:val="22"/>
                <w:lang w:val="en-US"/>
              </w:rPr>
            </w:pPr>
          </w:p>
          <w:p w14:paraId="62A0DD7F" w14:textId="77777777" w:rsidR="009520D7" w:rsidRPr="0037570A" w:rsidRDefault="009520D7" w:rsidP="009520D7">
            <w:pPr>
              <w:spacing w:before="60" w:after="60"/>
              <w:rPr>
                <w:rFonts w:ascii="Myriad Pro" w:hAnsi="Myriad Pro"/>
                <w:sz w:val="22"/>
                <w:szCs w:val="22"/>
                <w:lang w:val="en-US"/>
              </w:rPr>
            </w:pPr>
          </w:p>
        </w:tc>
      </w:tr>
      <w:tr w:rsidR="009520D7" w:rsidRPr="009520D7" w14:paraId="4C46C491" w14:textId="77777777" w:rsidTr="009867AD">
        <w:tc>
          <w:tcPr>
            <w:tcW w:w="675" w:type="dxa"/>
            <w:vMerge w:val="restart"/>
            <w:tcBorders>
              <w:top w:val="single" w:sz="8" w:space="0" w:color="auto"/>
              <w:left w:val="single" w:sz="8" w:space="0" w:color="auto"/>
              <w:right w:val="single" w:sz="8" w:space="0" w:color="auto"/>
            </w:tcBorders>
            <w:vAlign w:val="center"/>
          </w:tcPr>
          <w:p w14:paraId="4A698A8C"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F50828" w14:textId="4F853945" w:rsidR="009520D7" w:rsidRPr="0037570A" w:rsidRDefault="00ED0D16" w:rsidP="00F44D3A">
            <w:pPr>
              <w:spacing w:before="60" w:after="60"/>
              <w:rPr>
                <w:rFonts w:ascii="Myriad Pro" w:eastAsia="Calibri" w:hAnsi="Myriad Pro"/>
                <w:sz w:val="22"/>
                <w:szCs w:val="22"/>
                <w:lang w:val="en-US"/>
              </w:rPr>
            </w:pPr>
            <w:r w:rsidRPr="00ED0D16">
              <w:rPr>
                <w:rFonts w:ascii="Myriad Pro" w:hAnsi="Myriad Pro"/>
                <w:sz w:val="22"/>
                <w:szCs w:val="20"/>
              </w:rPr>
              <w:t xml:space="preserve">What promotional activities did you undertake to attract participants, during the program and following the programs </w:t>
            </w:r>
            <w:r w:rsidR="00F43641" w:rsidRPr="00ED0D16">
              <w:rPr>
                <w:rFonts w:ascii="Myriad Pro" w:hAnsi="Myriad Pro"/>
                <w:sz w:val="22"/>
                <w:szCs w:val="20"/>
              </w:rPr>
              <w:t>completion?</w:t>
            </w:r>
          </w:p>
        </w:tc>
      </w:tr>
      <w:tr w:rsidR="009520D7" w:rsidRPr="009520D7" w14:paraId="740CB1EB" w14:textId="77777777" w:rsidTr="009867AD">
        <w:tc>
          <w:tcPr>
            <w:tcW w:w="675" w:type="dxa"/>
            <w:vMerge/>
            <w:tcBorders>
              <w:left w:val="single" w:sz="8" w:space="0" w:color="auto"/>
              <w:bottom w:val="single" w:sz="8" w:space="0" w:color="auto"/>
              <w:right w:val="single" w:sz="8" w:space="0" w:color="auto"/>
            </w:tcBorders>
            <w:vAlign w:val="center"/>
          </w:tcPr>
          <w:p w14:paraId="51EFC6F1"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FE456" w14:textId="13EEC84F" w:rsidR="009520D7" w:rsidRDefault="009520D7" w:rsidP="009520D7">
            <w:pPr>
              <w:spacing w:before="60" w:after="60"/>
              <w:rPr>
                <w:rFonts w:ascii="Myriad Pro" w:hAnsi="Myriad Pro"/>
                <w:sz w:val="22"/>
                <w:szCs w:val="22"/>
                <w:lang w:val="en-US"/>
              </w:rPr>
            </w:pPr>
          </w:p>
          <w:p w14:paraId="4A87468E" w14:textId="77777777" w:rsidR="009867AD" w:rsidRDefault="009867AD" w:rsidP="009520D7">
            <w:pPr>
              <w:spacing w:before="60" w:after="60"/>
              <w:rPr>
                <w:rFonts w:ascii="Myriad Pro" w:hAnsi="Myriad Pro"/>
                <w:sz w:val="22"/>
                <w:szCs w:val="22"/>
                <w:lang w:val="en-US"/>
              </w:rPr>
            </w:pPr>
          </w:p>
          <w:p w14:paraId="478F57F6" w14:textId="77777777" w:rsidR="009867AD" w:rsidRPr="0037570A" w:rsidRDefault="009867AD" w:rsidP="009520D7">
            <w:pPr>
              <w:spacing w:before="60" w:after="60"/>
              <w:rPr>
                <w:rFonts w:ascii="Myriad Pro" w:hAnsi="Myriad Pro"/>
                <w:sz w:val="22"/>
                <w:szCs w:val="22"/>
                <w:lang w:val="en-US"/>
              </w:rPr>
            </w:pPr>
          </w:p>
          <w:p w14:paraId="54D7C0CF" w14:textId="77777777" w:rsidR="009520D7" w:rsidRPr="0037570A" w:rsidRDefault="009520D7" w:rsidP="009520D7">
            <w:pPr>
              <w:spacing w:before="60" w:after="60"/>
              <w:rPr>
                <w:rFonts w:ascii="Myriad Pro" w:hAnsi="Myriad Pro"/>
                <w:sz w:val="22"/>
                <w:szCs w:val="22"/>
                <w:lang w:val="en-US"/>
              </w:rPr>
            </w:pPr>
          </w:p>
        </w:tc>
      </w:tr>
      <w:tr w:rsidR="009520D7" w:rsidRPr="009520D7" w14:paraId="430ED9A2" w14:textId="77777777" w:rsidTr="009867AD">
        <w:tc>
          <w:tcPr>
            <w:tcW w:w="675" w:type="dxa"/>
            <w:vMerge w:val="restart"/>
            <w:tcBorders>
              <w:top w:val="single" w:sz="8" w:space="0" w:color="auto"/>
              <w:left w:val="single" w:sz="8" w:space="0" w:color="auto"/>
              <w:right w:val="single" w:sz="8" w:space="0" w:color="auto"/>
            </w:tcBorders>
            <w:vAlign w:val="center"/>
          </w:tcPr>
          <w:p w14:paraId="261273B7"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E0A53" w14:textId="68A3556D" w:rsidR="009520D7" w:rsidRPr="00DA7BCE" w:rsidRDefault="00ED0D16" w:rsidP="009520D7">
            <w:pPr>
              <w:spacing w:before="60" w:after="60"/>
              <w:rPr>
                <w:rFonts w:ascii="Myriad Pro" w:hAnsi="Myriad Pro"/>
                <w:sz w:val="22"/>
                <w:szCs w:val="20"/>
              </w:rPr>
            </w:pPr>
            <w:r w:rsidRPr="00ED0D16">
              <w:rPr>
                <w:rFonts w:ascii="Myriad Pro" w:hAnsi="Myriad Pro"/>
                <w:sz w:val="22"/>
                <w:szCs w:val="20"/>
              </w:rPr>
              <w:t xml:space="preserve">Did you engage with any additional organisations or partners outside of tennis </w:t>
            </w:r>
            <w:proofErr w:type="spellStart"/>
            <w:proofErr w:type="gramStart"/>
            <w:r w:rsidRPr="00ED0D16">
              <w:rPr>
                <w:rFonts w:ascii="Myriad Pro" w:hAnsi="Myriad Pro"/>
                <w:sz w:val="22"/>
                <w:szCs w:val="20"/>
              </w:rPr>
              <w:t>eg</w:t>
            </w:r>
            <w:proofErr w:type="spellEnd"/>
            <w:proofErr w:type="gramEnd"/>
            <w:r w:rsidRPr="00ED0D16">
              <w:rPr>
                <w:rFonts w:ascii="Myriad Pro" w:hAnsi="Myriad Pro"/>
                <w:sz w:val="22"/>
                <w:szCs w:val="20"/>
              </w:rPr>
              <w:t xml:space="preserve"> advocate or representative groups</w:t>
            </w:r>
          </w:p>
        </w:tc>
      </w:tr>
      <w:tr w:rsidR="009520D7" w:rsidRPr="009520D7" w14:paraId="57480DBC" w14:textId="77777777" w:rsidTr="009867AD">
        <w:tc>
          <w:tcPr>
            <w:tcW w:w="675" w:type="dxa"/>
            <w:vMerge/>
            <w:tcBorders>
              <w:left w:val="single" w:sz="8" w:space="0" w:color="auto"/>
              <w:bottom w:val="single" w:sz="8" w:space="0" w:color="auto"/>
              <w:right w:val="single" w:sz="8" w:space="0" w:color="auto"/>
            </w:tcBorders>
            <w:vAlign w:val="center"/>
          </w:tcPr>
          <w:p w14:paraId="2BC000A2"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50616" w14:textId="54D72B7F" w:rsidR="009520D7" w:rsidRDefault="009520D7" w:rsidP="009520D7">
            <w:pPr>
              <w:spacing w:before="60" w:after="60"/>
              <w:rPr>
                <w:rFonts w:ascii="Myriad Pro" w:eastAsia="Calibri" w:hAnsi="Myriad Pro"/>
                <w:sz w:val="22"/>
                <w:szCs w:val="22"/>
                <w:lang w:val="en-US"/>
              </w:rPr>
            </w:pPr>
          </w:p>
          <w:p w14:paraId="5DAC8060" w14:textId="77777777" w:rsidR="009867AD" w:rsidRPr="0037570A" w:rsidRDefault="009867AD" w:rsidP="009520D7">
            <w:pPr>
              <w:spacing w:before="60" w:after="60"/>
              <w:rPr>
                <w:rFonts w:ascii="Myriad Pro" w:eastAsia="Calibri" w:hAnsi="Myriad Pro"/>
                <w:sz w:val="22"/>
                <w:szCs w:val="22"/>
                <w:lang w:val="en-US"/>
              </w:rPr>
            </w:pPr>
          </w:p>
          <w:p w14:paraId="299C3389" w14:textId="77777777" w:rsidR="009520D7" w:rsidRDefault="009520D7" w:rsidP="009520D7">
            <w:pPr>
              <w:spacing w:before="60" w:after="60"/>
              <w:rPr>
                <w:rFonts w:ascii="Myriad Pro" w:eastAsia="Calibri" w:hAnsi="Myriad Pro"/>
                <w:sz w:val="22"/>
                <w:szCs w:val="22"/>
                <w:lang w:val="en-US"/>
              </w:rPr>
            </w:pPr>
          </w:p>
          <w:p w14:paraId="102785E3" w14:textId="62C1385D" w:rsidR="009867AD" w:rsidRPr="0037570A" w:rsidRDefault="009867AD" w:rsidP="009520D7">
            <w:pPr>
              <w:spacing w:before="60" w:after="60"/>
              <w:rPr>
                <w:rFonts w:ascii="Myriad Pro" w:eastAsia="Calibri" w:hAnsi="Myriad Pro"/>
                <w:sz w:val="22"/>
                <w:szCs w:val="22"/>
                <w:lang w:val="en-US"/>
              </w:rPr>
            </w:pPr>
          </w:p>
        </w:tc>
      </w:tr>
      <w:tr w:rsidR="00F06D1D" w:rsidRPr="009520D7" w14:paraId="4A5AE1FC" w14:textId="77777777" w:rsidTr="009867AD">
        <w:tc>
          <w:tcPr>
            <w:tcW w:w="675" w:type="dxa"/>
            <w:vMerge w:val="restart"/>
            <w:tcBorders>
              <w:top w:val="single" w:sz="8" w:space="0" w:color="auto"/>
              <w:left w:val="single" w:sz="8" w:space="0" w:color="auto"/>
              <w:right w:val="single" w:sz="8" w:space="0" w:color="auto"/>
            </w:tcBorders>
            <w:vAlign w:val="center"/>
          </w:tcPr>
          <w:p w14:paraId="4E92733B" w14:textId="2EE59B74"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B8DC6" w14:textId="5D112BEF" w:rsidR="00F06D1D" w:rsidRPr="00DA7BCE" w:rsidRDefault="00ED0D16" w:rsidP="00DB74B4">
            <w:pPr>
              <w:spacing w:before="60" w:after="60"/>
              <w:rPr>
                <w:rFonts w:ascii="Myriad Pro" w:hAnsi="Myriad Pro"/>
                <w:sz w:val="22"/>
                <w:szCs w:val="20"/>
              </w:rPr>
            </w:pPr>
            <w:r w:rsidRPr="00ED0D16">
              <w:rPr>
                <w:rFonts w:ascii="Myriad Pro" w:hAnsi="Myriad Pro"/>
                <w:sz w:val="22"/>
                <w:szCs w:val="20"/>
              </w:rPr>
              <w:t xml:space="preserve">Please describe the sustainability of the program. </w:t>
            </w:r>
          </w:p>
        </w:tc>
      </w:tr>
      <w:tr w:rsidR="00F06D1D" w:rsidRPr="009520D7" w14:paraId="3596B7F5" w14:textId="77777777" w:rsidTr="009867AD">
        <w:tc>
          <w:tcPr>
            <w:tcW w:w="675" w:type="dxa"/>
            <w:vMerge/>
            <w:tcBorders>
              <w:left w:val="single" w:sz="8" w:space="0" w:color="auto"/>
              <w:bottom w:val="single" w:sz="8" w:space="0" w:color="auto"/>
              <w:right w:val="single" w:sz="8" w:space="0" w:color="auto"/>
            </w:tcBorders>
            <w:vAlign w:val="center"/>
          </w:tcPr>
          <w:p w14:paraId="1B9C6075"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D2F29" w14:textId="77777777" w:rsidR="00F06D1D" w:rsidRPr="0037570A" w:rsidRDefault="00F06D1D" w:rsidP="00DB74B4">
            <w:pPr>
              <w:spacing w:before="60" w:after="60"/>
              <w:rPr>
                <w:rFonts w:ascii="Myriad Pro" w:eastAsia="Calibri" w:hAnsi="Myriad Pro"/>
                <w:sz w:val="22"/>
                <w:szCs w:val="22"/>
                <w:lang w:val="en-US"/>
              </w:rPr>
            </w:pPr>
          </w:p>
          <w:p w14:paraId="66CB2046" w14:textId="4184FF0B" w:rsidR="00F06D1D" w:rsidRDefault="00F06D1D" w:rsidP="00DB74B4">
            <w:pPr>
              <w:spacing w:before="60" w:after="60"/>
              <w:rPr>
                <w:rFonts w:ascii="Myriad Pro" w:eastAsia="Calibri" w:hAnsi="Myriad Pro"/>
                <w:sz w:val="22"/>
                <w:szCs w:val="22"/>
                <w:lang w:val="en-US"/>
              </w:rPr>
            </w:pPr>
          </w:p>
          <w:p w14:paraId="2639180C" w14:textId="77777777" w:rsidR="009867AD" w:rsidRDefault="009867AD" w:rsidP="00DB74B4">
            <w:pPr>
              <w:spacing w:before="60" w:after="60"/>
              <w:rPr>
                <w:rFonts w:ascii="Myriad Pro" w:eastAsia="Calibri" w:hAnsi="Myriad Pro"/>
                <w:sz w:val="22"/>
                <w:szCs w:val="22"/>
                <w:lang w:val="en-US"/>
              </w:rPr>
            </w:pPr>
          </w:p>
          <w:p w14:paraId="35771CC0" w14:textId="6C0DC1A7" w:rsidR="009867AD" w:rsidRPr="0037570A" w:rsidRDefault="009867AD" w:rsidP="00DB74B4">
            <w:pPr>
              <w:spacing w:before="60" w:after="60"/>
              <w:rPr>
                <w:rFonts w:ascii="Myriad Pro" w:eastAsia="Calibri" w:hAnsi="Myriad Pro"/>
                <w:sz w:val="22"/>
                <w:szCs w:val="22"/>
                <w:lang w:val="en-US"/>
              </w:rPr>
            </w:pPr>
          </w:p>
        </w:tc>
      </w:tr>
      <w:tr w:rsidR="00F06D1D" w:rsidRPr="009520D7" w14:paraId="50B34A9F" w14:textId="77777777" w:rsidTr="009867AD">
        <w:tc>
          <w:tcPr>
            <w:tcW w:w="675" w:type="dxa"/>
            <w:vMerge w:val="restart"/>
            <w:tcBorders>
              <w:top w:val="single" w:sz="8" w:space="0" w:color="auto"/>
              <w:left w:val="single" w:sz="8" w:space="0" w:color="auto"/>
              <w:right w:val="single" w:sz="8" w:space="0" w:color="auto"/>
            </w:tcBorders>
            <w:vAlign w:val="center"/>
          </w:tcPr>
          <w:p w14:paraId="795358F5" w14:textId="6C4994FE"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5</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8B5CE" w14:textId="76CF5AE5" w:rsidR="00F06D1D" w:rsidRPr="00DA7BCE" w:rsidRDefault="00ED0D16" w:rsidP="00F44D3A">
            <w:pPr>
              <w:spacing w:before="60" w:after="60"/>
              <w:rPr>
                <w:rFonts w:ascii="Myriad Pro" w:hAnsi="Myriad Pro"/>
                <w:sz w:val="22"/>
                <w:szCs w:val="20"/>
              </w:rPr>
            </w:pPr>
            <w:r w:rsidRPr="00ED0D16">
              <w:rPr>
                <w:rFonts w:ascii="Myriad Pro" w:hAnsi="Myriad Pro"/>
                <w:sz w:val="22"/>
                <w:szCs w:val="20"/>
              </w:rPr>
              <w:t>How has the initiative provided an opportunity to ongoing participation?</w:t>
            </w:r>
          </w:p>
        </w:tc>
      </w:tr>
      <w:tr w:rsidR="00F06D1D" w:rsidRPr="009520D7" w14:paraId="3A5EEC35" w14:textId="77777777" w:rsidTr="009867AD">
        <w:tc>
          <w:tcPr>
            <w:tcW w:w="675" w:type="dxa"/>
            <w:vMerge/>
            <w:tcBorders>
              <w:left w:val="single" w:sz="8" w:space="0" w:color="auto"/>
              <w:bottom w:val="single" w:sz="8" w:space="0" w:color="auto"/>
              <w:right w:val="single" w:sz="8" w:space="0" w:color="auto"/>
            </w:tcBorders>
            <w:vAlign w:val="center"/>
          </w:tcPr>
          <w:p w14:paraId="094284BD"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B0B5E" w14:textId="2636F8CC" w:rsidR="00F06D1D" w:rsidRDefault="00F06D1D" w:rsidP="00DB74B4">
            <w:pPr>
              <w:spacing w:before="60" w:after="60"/>
              <w:rPr>
                <w:rFonts w:ascii="Myriad Pro" w:eastAsia="Calibri" w:hAnsi="Myriad Pro"/>
                <w:sz w:val="22"/>
                <w:szCs w:val="22"/>
                <w:lang w:val="en-US"/>
              </w:rPr>
            </w:pPr>
          </w:p>
          <w:p w14:paraId="25F36348" w14:textId="08051884" w:rsidR="009867AD" w:rsidRDefault="009867AD" w:rsidP="00DB74B4">
            <w:pPr>
              <w:spacing w:before="60" w:after="60"/>
              <w:rPr>
                <w:rFonts w:ascii="Myriad Pro" w:eastAsia="Calibri" w:hAnsi="Myriad Pro"/>
                <w:sz w:val="22"/>
                <w:szCs w:val="22"/>
                <w:lang w:val="en-US"/>
              </w:rPr>
            </w:pPr>
          </w:p>
          <w:p w14:paraId="468A2964" w14:textId="77777777" w:rsidR="009867AD" w:rsidRPr="0037570A" w:rsidRDefault="009867AD" w:rsidP="00DB74B4">
            <w:pPr>
              <w:spacing w:before="60" w:after="60"/>
              <w:rPr>
                <w:rFonts w:ascii="Myriad Pro" w:eastAsia="Calibri" w:hAnsi="Myriad Pro"/>
                <w:sz w:val="22"/>
                <w:szCs w:val="22"/>
                <w:lang w:val="en-US"/>
              </w:rPr>
            </w:pPr>
          </w:p>
          <w:p w14:paraId="6F2004A4" w14:textId="77777777" w:rsidR="00F06D1D" w:rsidRPr="0037570A" w:rsidRDefault="00F06D1D" w:rsidP="00DB74B4">
            <w:pPr>
              <w:spacing w:before="60" w:after="60"/>
              <w:rPr>
                <w:rFonts w:ascii="Myriad Pro" w:eastAsia="Calibri" w:hAnsi="Myriad Pro"/>
                <w:sz w:val="22"/>
                <w:szCs w:val="22"/>
                <w:lang w:val="en-US"/>
              </w:rPr>
            </w:pPr>
          </w:p>
        </w:tc>
      </w:tr>
      <w:tr w:rsidR="009867AD" w:rsidRPr="009520D7" w14:paraId="295F864A" w14:textId="77777777" w:rsidTr="009867AD">
        <w:tc>
          <w:tcPr>
            <w:tcW w:w="675" w:type="dxa"/>
            <w:vMerge w:val="restart"/>
            <w:tcBorders>
              <w:left w:val="single" w:sz="8" w:space="0" w:color="auto"/>
              <w:right w:val="single" w:sz="8" w:space="0" w:color="auto"/>
            </w:tcBorders>
            <w:vAlign w:val="center"/>
          </w:tcPr>
          <w:p w14:paraId="7E9B090A" w14:textId="664975D2" w:rsidR="009867AD" w:rsidRPr="009520D7" w:rsidRDefault="009867AD"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6</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6BC39" w14:textId="6F329E44" w:rsidR="009867AD" w:rsidRPr="00ED0D16" w:rsidRDefault="00D21E2B" w:rsidP="00DB74B4">
            <w:pPr>
              <w:spacing w:before="60" w:after="60"/>
              <w:rPr>
                <w:rFonts w:ascii="Myriad Pro" w:eastAsia="Calibri" w:hAnsi="Myriad Pro"/>
                <w:iCs/>
                <w:sz w:val="22"/>
                <w:szCs w:val="22"/>
              </w:rPr>
            </w:pPr>
            <w:r>
              <w:rPr>
                <w:rFonts w:ascii="Myriad Pro" w:eastAsia="Calibri" w:hAnsi="Myriad Pro"/>
                <w:iCs/>
                <w:sz w:val="22"/>
                <w:szCs w:val="22"/>
              </w:rPr>
              <w:t xml:space="preserve">What </w:t>
            </w:r>
            <w:r w:rsidR="009867AD" w:rsidRPr="00ED0D16">
              <w:rPr>
                <w:rFonts w:ascii="Myriad Pro" w:eastAsia="Calibri" w:hAnsi="Myriad Pro"/>
                <w:iCs/>
                <w:sz w:val="22"/>
                <w:szCs w:val="22"/>
              </w:rPr>
              <w:t>was the highlight of this program that you as the nominator are most proud of?</w:t>
            </w:r>
          </w:p>
        </w:tc>
      </w:tr>
      <w:tr w:rsidR="009867AD" w:rsidRPr="009520D7" w14:paraId="7A75CF61" w14:textId="77777777" w:rsidTr="009867AD">
        <w:tc>
          <w:tcPr>
            <w:tcW w:w="675" w:type="dxa"/>
            <w:vMerge/>
            <w:tcBorders>
              <w:left w:val="single" w:sz="8" w:space="0" w:color="auto"/>
              <w:bottom w:val="single" w:sz="8" w:space="0" w:color="auto"/>
              <w:right w:val="single" w:sz="8" w:space="0" w:color="auto"/>
            </w:tcBorders>
            <w:vAlign w:val="center"/>
          </w:tcPr>
          <w:p w14:paraId="363C5BFA" w14:textId="77777777" w:rsidR="009867AD" w:rsidRPr="009520D7" w:rsidRDefault="009867A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89890" w14:textId="5CFEC149" w:rsidR="009867AD" w:rsidRDefault="009867AD" w:rsidP="00DB74B4">
            <w:pPr>
              <w:spacing w:before="60" w:after="60"/>
              <w:rPr>
                <w:rFonts w:ascii="Myriad Pro" w:eastAsia="Calibri" w:hAnsi="Myriad Pro"/>
                <w:sz w:val="22"/>
                <w:szCs w:val="22"/>
                <w:lang w:val="en-US"/>
              </w:rPr>
            </w:pPr>
          </w:p>
          <w:p w14:paraId="3449E5A3" w14:textId="1A454057" w:rsidR="009867AD" w:rsidRDefault="009867AD" w:rsidP="00DB74B4">
            <w:pPr>
              <w:spacing w:before="60" w:after="60"/>
              <w:rPr>
                <w:rFonts w:ascii="Myriad Pro" w:eastAsia="Calibri" w:hAnsi="Myriad Pro"/>
                <w:sz w:val="22"/>
                <w:szCs w:val="22"/>
                <w:lang w:val="en-US"/>
              </w:rPr>
            </w:pPr>
          </w:p>
          <w:p w14:paraId="44A148E2" w14:textId="77777777" w:rsidR="009867AD" w:rsidRPr="0037570A" w:rsidRDefault="009867AD" w:rsidP="00DB74B4">
            <w:pPr>
              <w:spacing w:before="60" w:after="60"/>
              <w:rPr>
                <w:rFonts w:ascii="Myriad Pro" w:eastAsia="Calibri" w:hAnsi="Myriad Pro"/>
                <w:sz w:val="22"/>
                <w:szCs w:val="22"/>
                <w:lang w:val="en-US"/>
              </w:rPr>
            </w:pPr>
          </w:p>
        </w:tc>
      </w:tr>
    </w:tbl>
    <w:p w14:paraId="24AD8FC2" w14:textId="77777777" w:rsidR="00F06D1D" w:rsidRPr="009520D7" w:rsidRDefault="00F06D1D" w:rsidP="00F06D1D">
      <w:pPr>
        <w:rPr>
          <w:rFonts w:ascii="Myriad Pro" w:hAnsi="Myriad Pro"/>
          <w:sz w:val="22"/>
          <w:lang w:val="en-US"/>
        </w:rPr>
      </w:pPr>
    </w:p>
    <w:p w14:paraId="15F66F6A" w14:textId="64E0128B" w:rsidR="009520D7" w:rsidRPr="009520D7" w:rsidRDefault="009520D7" w:rsidP="009520D7">
      <w:pPr>
        <w:rPr>
          <w:rFonts w:ascii="Myriad Pro" w:hAnsi="Myriad Pro"/>
          <w:sz w:val="22"/>
          <w:lang w:val="en-US"/>
        </w:rPr>
      </w:pPr>
      <w:r w:rsidRPr="009520D7">
        <w:rPr>
          <w:rFonts w:ascii="Myriad Pro" w:hAnsi="Myriad Pro"/>
          <w:sz w:val="22"/>
          <w:lang w:val="en-US"/>
        </w:rPr>
        <w:t xml:space="preserve">** </w:t>
      </w:r>
      <w:r w:rsidR="005903D5">
        <w:rPr>
          <w:rFonts w:ascii="Myriad Pro" w:hAnsi="Myriad Pro"/>
          <w:sz w:val="22"/>
          <w:lang w:val="en-US"/>
        </w:rPr>
        <w:t>C</w:t>
      </w:r>
      <w:r w:rsidRPr="009520D7">
        <w:rPr>
          <w:rFonts w:ascii="Myriad Pro" w:hAnsi="Myriad Pro"/>
          <w:sz w:val="22"/>
          <w:lang w:val="en-US"/>
        </w:rPr>
        <w:t>omplete response</w:t>
      </w:r>
      <w:r w:rsidR="007D75E1">
        <w:rPr>
          <w:rFonts w:ascii="Myriad Pro" w:hAnsi="Myriad Pro"/>
          <w:sz w:val="22"/>
          <w:lang w:val="en-US"/>
        </w:rPr>
        <w:t>s</w:t>
      </w:r>
      <w:r w:rsidRPr="009520D7">
        <w:rPr>
          <w:rFonts w:ascii="Myriad Pro" w:hAnsi="Myriad Pro"/>
          <w:sz w:val="22"/>
          <w:lang w:val="en-US"/>
        </w:rPr>
        <w:t xml:space="preserve"> in space provided</w:t>
      </w:r>
      <w:r w:rsidR="007D75E1">
        <w:rPr>
          <w:rFonts w:ascii="Myriad Pro" w:hAnsi="Myriad Pro"/>
          <w:sz w:val="22"/>
          <w:lang w:val="en-US"/>
        </w:rPr>
        <w:t xml:space="preserve"> above</w:t>
      </w:r>
      <w:r w:rsidR="00B33B69">
        <w:rPr>
          <w:rFonts w:ascii="Myriad Pro" w:hAnsi="Myriad Pro"/>
          <w:sz w:val="22"/>
          <w:lang w:val="en-US"/>
        </w:rPr>
        <w:t xml:space="preserve"> and upload</w:t>
      </w:r>
      <w:r w:rsidRPr="009520D7">
        <w:rPr>
          <w:rFonts w:ascii="Myriad Pro" w:hAnsi="Myriad Pro"/>
          <w:sz w:val="22"/>
          <w:lang w:val="en-US"/>
        </w:rPr>
        <w:t xml:space="preserve"> supporting documentation separately</w:t>
      </w:r>
      <w:r w:rsidR="005903D5">
        <w:rPr>
          <w:rFonts w:ascii="Myriad Pro" w:hAnsi="Myriad Pro"/>
          <w:sz w:val="22"/>
          <w:lang w:val="en-US"/>
        </w:rPr>
        <w:t>**</w:t>
      </w:r>
    </w:p>
    <w:p w14:paraId="19C35329" w14:textId="4AFCE221" w:rsidR="00FA0A0B" w:rsidRDefault="00FA0A0B" w:rsidP="00785827">
      <w:pPr>
        <w:rPr>
          <w:rFonts w:ascii="Myriad Pro" w:hAnsi="Myriad Pro"/>
          <w:color w:val="5F5F5F"/>
          <w:sz w:val="22"/>
          <w:szCs w:val="20"/>
          <w:lang w:val="en-US"/>
        </w:rPr>
      </w:pPr>
    </w:p>
    <w:sectPr w:rsidR="00FA0A0B" w:rsidSect="00EC68A4">
      <w:headerReference w:type="even" r:id="rId12"/>
      <w:headerReference w:type="default" r:id="rId13"/>
      <w:footerReference w:type="default" r:id="rId14"/>
      <w:pgSz w:w="11906" w:h="16838"/>
      <w:pgMar w:top="720" w:right="720" w:bottom="720" w:left="720" w:header="720" w:footer="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3E28" w14:textId="77777777" w:rsidR="003E55A4" w:rsidRDefault="003E55A4" w:rsidP="00A07252">
      <w:r>
        <w:separator/>
      </w:r>
    </w:p>
  </w:endnote>
  <w:endnote w:type="continuationSeparator" w:id="0">
    <w:p w14:paraId="0CE0D4C7" w14:textId="77777777" w:rsidR="003E55A4" w:rsidRDefault="003E55A4"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28AFA356" w:rsidR="006235FF" w:rsidRDefault="00B33B69" w:rsidP="006235FF">
            <w:pPr>
              <w:pStyle w:val="BodyCopy"/>
            </w:pPr>
            <w:r>
              <w:t>20</w:t>
            </w:r>
            <w:r w:rsidR="00CE3E4B">
              <w:t>2</w:t>
            </w:r>
            <w:r w:rsidR="00EC68A4">
              <w:t>2</w:t>
            </w:r>
            <w:r w:rsidR="00103DAF">
              <w:t xml:space="preserve"> </w:t>
            </w:r>
            <w:r w:rsidR="006235FF">
              <w:t xml:space="preserve">Victorian Tennis Awards – </w:t>
            </w:r>
            <w:r>
              <w:t>Most Outstanding Inclusion Initiative</w:t>
            </w:r>
          </w:p>
          <w:p w14:paraId="5D1E55F9" w14:textId="41E7658F" w:rsidR="006235FF" w:rsidRDefault="006235FF" w:rsidP="006235FF">
            <w:pPr>
              <w:pStyle w:val="BodyCopy"/>
              <w:jc w:val="right"/>
            </w:pPr>
            <w:r>
              <w:t xml:space="preserve">Page </w:t>
            </w:r>
            <w:r>
              <w:rPr>
                <w:sz w:val="24"/>
                <w:szCs w:val="24"/>
              </w:rPr>
              <w:fldChar w:fldCharType="begin"/>
            </w:r>
            <w:r>
              <w:instrText xml:space="preserve"> PAGE </w:instrText>
            </w:r>
            <w:r>
              <w:rPr>
                <w:sz w:val="24"/>
                <w:szCs w:val="24"/>
              </w:rPr>
              <w:fldChar w:fldCharType="separate"/>
            </w:r>
            <w:r w:rsidR="008C2CE2">
              <w:rPr>
                <w:noProof/>
              </w:rPr>
              <w:t>2</w:t>
            </w:r>
            <w:r>
              <w:rPr>
                <w:sz w:val="24"/>
                <w:szCs w:val="24"/>
              </w:rPr>
              <w:fldChar w:fldCharType="end"/>
            </w:r>
            <w:r>
              <w:t xml:space="preserve"> of </w:t>
            </w:r>
            <w:r w:rsidR="00FD02FB">
              <w:rPr>
                <w:noProof/>
              </w:rPr>
              <w:fldChar w:fldCharType="begin"/>
            </w:r>
            <w:r w:rsidR="00FD02FB">
              <w:rPr>
                <w:noProof/>
              </w:rPr>
              <w:instrText xml:space="preserve"> NUMPAGES  </w:instrText>
            </w:r>
            <w:r w:rsidR="00FD02FB">
              <w:rPr>
                <w:noProof/>
              </w:rPr>
              <w:fldChar w:fldCharType="separate"/>
            </w:r>
            <w:r w:rsidR="008C2CE2">
              <w:rPr>
                <w:noProof/>
              </w:rPr>
              <w:t>3</w:t>
            </w:r>
            <w:r w:rsidR="00FD02FB">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E7F4" w14:textId="77777777" w:rsidR="003E55A4" w:rsidRDefault="003E55A4" w:rsidP="00A07252">
      <w:r>
        <w:separator/>
      </w:r>
    </w:p>
  </w:footnote>
  <w:footnote w:type="continuationSeparator" w:id="0">
    <w:p w14:paraId="51B0764E" w14:textId="77777777" w:rsidR="003E55A4" w:rsidRDefault="003E55A4"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4" name="Picture 4"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4FA12A67" w:rsidR="00785827" w:rsidRDefault="00090F9E" w:rsidP="00CE3E4B">
    <w:pPr>
      <w:pStyle w:val="Header"/>
      <w:jc w:val="center"/>
    </w:pPr>
    <w:r>
      <w:rPr>
        <w:noProof/>
      </w:rPr>
      <w:drawing>
        <wp:inline distT="0" distB="0" distL="0" distR="0" wp14:anchorId="74E4954B" wp14:editId="6879D8B0">
          <wp:extent cx="6485318" cy="927400"/>
          <wp:effectExtent l="0" t="0" r="0" b="6350"/>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2" w:hanging="361"/>
      </w:pPr>
      <w:rPr>
        <w:rFonts w:ascii="Symbol" w:hAnsi="Symbol" w:cs="Symbol"/>
        <w:b w:val="0"/>
        <w:bCs w:val="0"/>
        <w:w w:val="102"/>
        <w:sz w:val="22"/>
        <w:szCs w:val="22"/>
      </w:rPr>
    </w:lvl>
    <w:lvl w:ilvl="1">
      <w:numFmt w:val="bullet"/>
      <w:lvlText w:val="•"/>
      <w:lvlJc w:val="left"/>
      <w:pPr>
        <w:ind w:left="1359" w:hanging="361"/>
      </w:pPr>
    </w:lvl>
    <w:lvl w:ilvl="2">
      <w:numFmt w:val="bullet"/>
      <w:lvlText w:val="•"/>
      <w:lvlJc w:val="left"/>
      <w:pPr>
        <w:ind w:left="2258" w:hanging="361"/>
      </w:pPr>
    </w:lvl>
    <w:lvl w:ilvl="3">
      <w:numFmt w:val="bullet"/>
      <w:lvlText w:val="•"/>
      <w:lvlJc w:val="left"/>
      <w:pPr>
        <w:ind w:left="3157" w:hanging="361"/>
      </w:pPr>
    </w:lvl>
    <w:lvl w:ilvl="4">
      <w:numFmt w:val="bullet"/>
      <w:lvlText w:val="•"/>
      <w:lvlJc w:val="left"/>
      <w:pPr>
        <w:ind w:left="4056" w:hanging="361"/>
      </w:pPr>
    </w:lvl>
    <w:lvl w:ilvl="5">
      <w:numFmt w:val="bullet"/>
      <w:lvlText w:val="•"/>
      <w:lvlJc w:val="left"/>
      <w:pPr>
        <w:ind w:left="4955" w:hanging="361"/>
      </w:pPr>
    </w:lvl>
    <w:lvl w:ilvl="6">
      <w:numFmt w:val="bullet"/>
      <w:lvlText w:val="•"/>
      <w:lvlJc w:val="left"/>
      <w:pPr>
        <w:ind w:left="5854" w:hanging="361"/>
      </w:pPr>
    </w:lvl>
    <w:lvl w:ilvl="7">
      <w:numFmt w:val="bullet"/>
      <w:lvlText w:val="•"/>
      <w:lvlJc w:val="left"/>
      <w:pPr>
        <w:ind w:left="6753" w:hanging="361"/>
      </w:pPr>
    </w:lvl>
    <w:lvl w:ilvl="8">
      <w:numFmt w:val="bullet"/>
      <w:lvlText w:val="•"/>
      <w:lvlJc w:val="left"/>
      <w:pPr>
        <w:ind w:left="7652" w:hanging="361"/>
      </w:p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C7B3F"/>
    <w:multiLevelType w:val="hybridMultilevel"/>
    <w:tmpl w:val="FE26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0609F"/>
    <w:multiLevelType w:val="hybridMultilevel"/>
    <w:tmpl w:val="2DE638FC"/>
    <w:lvl w:ilvl="0" w:tplc="0C090001">
      <w:start w:val="1"/>
      <w:numFmt w:val="bullet"/>
      <w:lvlText w:val=""/>
      <w:lvlJc w:val="left"/>
      <w:pPr>
        <w:ind w:left="720" w:hanging="360"/>
      </w:pPr>
      <w:rPr>
        <w:rFonts w:ascii="Symbol" w:hAnsi="Symbol" w:hint="default"/>
      </w:rPr>
    </w:lvl>
    <w:lvl w:ilvl="1" w:tplc="C20CFF50">
      <w:numFmt w:val="bullet"/>
      <w:lvlText w:val="-"/>
      <w:lvlJc w:val="left"/>
      <w:pPr>
        <w:ind w:left="1800" w:hanging="720"/>
      </w:pPr>
      <w:rPr>
        <w:rFonts w:ascii="Calibri" w:eastAsiaTheme="minorHAns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E09C0"/>
    <w:multiLevelType w:val="hybridMultilevel"/>
    <w:tmpl w:val="8606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4A38"/>
    <w:multiLevelType w:val="hybridMultilevel"/>
    <w:tmpl w:val="56C88B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F8B710B"/>
    <w:multiLevelType w:val="hybridMultilevel"/>
    <w:tmpl w:val="A0F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043C7"/>
    <w:multiLevelType w:val="hybridMultilevel"/>
    <w:tmpl w:val="B1AC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11151"/>
    <w:multiLevelType w:val="hybridMultilevel"/>
    <w:tmpl w:val="1C64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4"/>
  </w:num>
  <w:num w:numId="7">
    <w:abstractNumId w:val="2"/>
  </w:num>
  <w:num w:numId="8">
    <w:abstractNumId w:val="12"/>
  </w:num>
  <w:num w:numId="9">
    <w:abstractNumId w:val="9"/>
  </w:num>
  <w:num w:numId="10">
    <w:abstractNumId w:val="11"/>
  </w:num>
  <w:num w:numId="11">
    <w:abstractNumId w:val="7"/>
  </w:num>
  <w:num w:numId="12">
    <w:abstractNumId w:val="6"/>
  </w:num>
  <w:num w:numId="13">
    <w:abstractNumId w:val="16"/>
  </w:num>
  <w:num w:numId="14">
    <w:abstractNumId w:val="17"/>
  </w:num>
  <w:num w:numId="15">
    <w:abstractNumId w:val="0"/>
  </w:num>
  <w:num w:numId="16">
    <w:abstractNumId w:val="5"/>
  </w:num>
  <w:num w:numId="17">
    <w:abstractNumId w:val="18"/>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6456D"/>
    <w:rsid w:val="000804AB"/>
    <w:rsid w:val="00090F9E"/>
    <w:rsid w:val="00096CFC"/>
    <w:rsid w:val="000A314E"/>
    <w:rsid w:val="000B1A6F"/>
    <w:rsid w:val="000E158E"/>
    <w:rsid w:val="000F55B0"/>
    <w:rsid w:val="0010013F"/>
    <w:rsid w:val="00103DAF"/>
    <w:rsid w:val="00112D0E"/>
    <w:rsid w:val="0011377B"/>
    <w:rsid w:val="00125654"/>
    <w:rsid w:val="001330AC"/>
    <w:rsid w:val="0014180A"/>
    <w:rsid w:val="00151A3C"/>
    <w:rsid w:val="001650D8"/>
    <w:rsid w:val="00166911"/>
    <w:rsid w:val="00167193"/>
    <w:rsid w:val="00174827"/>
    <w:rsid w:val="001770C5"/>
    <w:rsid w:val="00181D10"/>
    <w:rsid w:val="00190DC8"/>
    <w:rsid w:val="001C3ABC"/>
    <w:rsid w:val="001E2EC9"/>
    <w:rsid w:val="001E5461"/>
    <w:rsid w:val="001E5656"/>
    <w:rsid w:val="001F796C"/>
    <w:rsid w:val="002424AC"/>
    <w:rsid w:val="00243471"/>
    <w:rsid w:val="00276F36"/>
    <w:rsid w:val="00291A46"/>
    <w:rsid w:val="00292507"/>
    <w:rsid w:val="002A707E"/>
    <w:rsid w:val="002D0D13"/>
    <w:rsid w:val="00316CDC"/>
    <w:rsid w:val="00320C6E"/>
    <w:rsid w:val="0032622F"/>
    <w:rsid w:val="0037570A"/>
    <w:rsid w:val="00382BC5"/>
    <w:rsid w:val="003946EC"/>
    <w:rsid w:val="00394788"/>
    <w:rsid w:val="003B24AE"/>
    <w:rsid w:val="003C0D92"/>
    <w:rsid w:val="003C4A52"/>
    <w:rsid w:val="003D14F8"/>
    <w:rsid w:val="003E3737"/>
    <w:rsid w:val="003E55A4"/>
    <w:rsid w:val="0040334E"/>
    <w:rsid w:val="00440AC9"/>
    <w:rsid w:val="00454DCF"/>
    <w:rsid w:val="00464A32"/>
    <w:rsid w:val="004956B4"/>
    <w:rsid w:val="00497A66"/>
    <w:rsid w:val="005117BB"/>
    <w:rsid w:val="00515655"/>
    <w:rsid w:val="00525904"/>
    <w:rsid w:val="0053201D"/>
    <w:rsid w:val="005476C0"/>
    <w:rsid w:val="00562CC5"/>
    <w:rsid w:val="00581812"/>
    <w:rsid w:val="005903D5"/>
    <w:rsid w:val="005B3307"/>
    <w:rsid w:val="005C057D"/>
    <w:rsid w:val="005D3D46"/>
    <w:rsid w:val="005D3E7A"/>
    <w:rsid w:val="005D70D5"/>
    <w:rsid w:val="005F03CE"/>
    <w:rsid w:val="00600114"/>
    <w:rsid w:val="00622E7E"/>
    <w:rsid w:val="006235FF"/>
    <w:rsid w:val="00634FF3"/>
    <w:rsid w:val="00663E8F"/>
    <w:rsid w:val="006743BE"/>
    <w:rsid w:val="006806EE"/>
    <w:rsid w:val="00686A8B"/>
    <w:rsid w:val="006E3048"/>
    <w:rsid w:val="00710E8A"/>
    <w:rsid w:val="007248D4"/>
    <w:rsid w:val="00725810"/>
    <w:rsid w:val="00754370"/>
    <w:rsid w:val="007643BD"/>
    <w:rsid w:val="00771C29"/>
    <w:rsid w:val="007766FE"/>
    <w:rsid w:val="00785827"/>
    <w:rsid w:val="007C4187"/>
    <w:rsid w:val="007D75E1"/>
    <w:rsid w:val="0080365B"/>
    <w:rsid w:val="0081152F"/>
    <w:rsid w:val="0082292A"/>
    <w:rsid w:val="00825494"/>
    <w:rsid w:val="00855EA4"/>
    <w:rsid w:val="00875D77"/>
    <w:rsid w:val="00893887"/>
    <w:rsid w:val="008A1F0D"/>
    <w:rsid w:val="008C2CE2"/>
    <w:rsid w:val="00900739"/>
    <w:rsid w:val="00907CC3"/>
    <w:rsid w:val="0091311D"/>
    <w:rsid w:val="00917856"/>
    <w:rsid w:val="0093022B"/>
    <w:rsid w:val="009520D7"/>
    <w:rsid w:val="0095453B"/>
    <w:rsid w:val="009704C9"/>
    <w:rsid w:val="009867AD"/>
    <w:rsid w:val="009A60CC"/>
    <w:rsid w:val="009D18BC"/>
    <w:rsid w:val="009D2365"/>
    <w:rsid w:val="00A07252"/>
    <w:rsid w:val="00A17F19"/>
    <w:rsid w:val="00A23ABA"/>
    <w:rsid w:val="00AF28F0"/>
    <w:rsid w:val="00AF48E9"/>
    <w:rsid w:val="00B12BFC"/>
    <w:rsid w:val="00B33B69"/>
    <w:rsid w:val="00B35DFB"/>
    <w:rsid w:val="00B473AF"/>
    <w:rsid w:val="00B579B0"/>
    <w:rsid w:val="00B7069C"/>
    <w:rsid w:val="00B73A6A"/>
    <w:rsid w:val="00B90637"/>
    <w:rsid w:val="00BA240E"/>
    <w:rsid w:val="00BB31CF"/>
    <w:rsid w:val="00BC4B40"/>
    <w:rsid w:val="00BD3E21"/>
    <w:rsid w:val="00BD67A9"/>
    <w:rsid w:val="00BF352B"/>
    <w:rsid w:val="00BF7593"/>
    <w:rsid w:val="00C207A4"/>
    <w:rsid w:val="00C67CF4"/>
    <w:rsid w:val="00C715AF"/>
    <w:rsid w:val="00C8641A"/>
    <w:rsid w:val="00CA5622"/>
    <w:rsid w:val="00CC04DD"/>
    <w:rsid w:val="00CC16FC"/>
    <w:rsid w:val="00CC2E06"/>
    <w:rsid w:val="00CE3E4B"/>
    <w:rsid w:val="00D068B7"/>
    <w:rsid w:val="00D21E2B"/>
    <w:rsid w:val="00D32882"/>
    <w:rsid w:val="00D40E53"/>
    <w:rsid w:val="00D45366"/>
    <w:rsid w:val="00D86B90"/>
    <w:rsid w:val="00DA7BCE"/>
    <w:rsid w:val="00DB74B4"/>
    <w:rsid w:val="00DB7B92"/>
    <w:rsid w:val="00DD5DF4"/>
    <w:rsid w:val="00DD7B74"/>
    <w:rsid w:val="00DF7ECC"/>
    <w:rsid w:val="00E11455"/>
    <w:rsid w:val="00E46C01"/>
    <w:rsid w:val="00EA041A"/>
    <w:rsid w:val="00EC68A4"/>
    <w:rsid w:val="00ED0D16"/>
    <w:rsid w:val="00EE2B61"/>
    <w:rsid w:val="00F06D1D"/>
    <w:rsid w:val="00F43641"/>
    <w:rsid w:val="00F44D3A"/>
    <w:rsid w:val="00F97CEB"/>
    <w:rsid w:val="00FA0A0B"/>
    <w:rsid w:val="00FA4A86"/>
    <w:rsid w:val="00FB3CE9"/>
    <w:rsid w:val="00FB6333"/>
    <w:rsid w:val="00FD02FB"/>
    <w:rsid w:val="00FD3251"/>
    <w:rsid w:val="00FF5A77"/>
    <w:rsid w:val="1D5BEC16"/>
    <w:rsid w:val="5BF6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5F770"/>
  <w15:docId w15:val="{A6D65A54-F143-4167-B7D4-30CF804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paragraph" w:styleId="BodyText">
    <w:name w:val="Body Text"/>
    <w:basedOn w:val="Normal"/>
    <w:link w:val="BodyTextChar"/>
    <w:uiPriority w:val="99"/>
    <w:unhideWhenUsed/>
    <w:rsid w:val="00F44D3A"/>
    <w:pPr>
      <w:spacing w:after="120"/>
    </w:pPr>
  </w:style>
  <w:style w:type="character" w:customStyle="1" w:styleId="BodyTextChar">
    <w:name w:val="Body Text Char"/>
    <w:basedOn w:val="DefaultParagraphFont"/>
    <w:link w:val="BodyText"/>
    <w:uiPriority w:val="99"/>
    <w:rsid w:val="00F44D3A"/>
    <w:rPr>
      <w:rFonts w:ascii="Times New Roman" w:eastAsia="Times New Roman" w:hAnsi="Times New Roman" w:cs="Times New Roman"/>
      <w:lang w:val="en-AU"/>
    </w:rPr>
  </w:style>
  <w:style w:type="table" w:styleId="TableGrid">
    <w:name w:val="Table Grid"/>
    <w:basedOn w:val="TableNormal"/>
    <w:uiPriority w:val="39"/>
    <w:rsid w:val="00D21E2B"/>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4427">
      <w:bodyDiv w:val="1"/>
      <w:marLeft w:val="0"/>
      <w:marRight w:val="0"/>
      <w:marTop w:val="0"/>
      <w:marBottom w:val="0"/>
      <w:divBdr>
        <w:top w:val="none" w:sz="0" w:space="0" w:color="auto"/>
        <w:left w:val="none" w:sz="0" w:space="0" w:color="auto"/>
        <w:bottom w:val="none" w:sz="0" w:space="0" w:color="auto"/>
        <w:right w:val="none" w:sz="0" w:space="0" w:color="auto"/>
      </w:divBdr>
    </w:div>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033774212">
      <w:bodyDiv w:val="1"/>
      <w:marLeft w:val="0"/>
      <w:marRight w:val="0"/>
      <w:marTop w:val="0"/>
      <w:marBottom w:val="0"/>
      <w:divBdr>
        <w:top w:val="none" w:sz="0" w:space="0" w:color="auto"/>
        <w:left w:val="none" w:sz="0" w:space="0" w:color="auto"/>
        <w:bottom w:val="none" w:sz="0" w:space="0" w:color="auto"/>
        <w:right w:val="none" w:sz="0" w:space="0" w:color="auto"/>
      </w:divBdr>
    </w:div>
    <w:div w:id="129644709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750271768">
      <w:bodyDiv w:val="1"/>
      <w:marLeft w:val="0"/>
      <w:marRight w:val="0"/>
      <w:marTop w:val="0"/>
      <w:marBottom w:val="0"/>
      <w:divBdr>
        <w:top w:val="none" w:sz="0" w:space="0" w:color="auto"/>
        <w:left w:val="none" w:sz="0" w:space="0" w:color="auto"/>
        <w:bottom w:val="none" w:sz="0" w:space="0" w:color="auto"/>
        <w:right w:val="none" w:sz="0" w:space="0" w:color="auto"/>
      </w:divBdr>
    </w:div>
    <w:div w:id="193312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21D63-0B0E-40C0-9787-DF1FCB261443}">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2.xml><?xml version="1.0" encoding="utf-8"?>
<ds:datastoreItem xmlns:ds="http://schemas.openxmlformats.org/officeDocument/2006/customXml" ds:itemID="{A9BCCBD7-B335-442C-BBA9-0E42FC4E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E43A6-7B7A-4691-A2CD-866767039DCB}">
  <ds:schemaRefs>
    <ds:schemaRef ds:uri="http://schemas.microsoft.com/sharepoint/v3/contenttype/forms"/>
  </ds:schemaRefs>
</ds:datastoreItem>
</file>

<file path=customXml/itemProps4.xml><?xml version="1.0" encoding="utf-8"?>
<ds:datastoreItem xmlns:ds="http://schemas.openxmlformats.org/officeDocument/2006/customXml" ds:itemID="{CD09A3F5-38DB-44FE-A573-7B845FE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3494</Characters>
  <Application>Microsoft Office Word</Application>
  <DocSecurity>0</DocSecurity>
  <Lines>29</Lines>
  <Paragraphs>8</Paragraphs>
  <ScaleCrop>false</ScaleCrop>
  <Manager/>
  <Company>Tennis Australia</Company>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Sean OKane</cp:lastModifiedBy>
  <cp:revision>2</cp:revision>
  <cp:lastPrinted>2019-07-09T02:08:00Z</cp:lastPrinted>
  <dcterms:created xsi:type="dcterms:W3CDTF">2022-08-09T06:08:00Z</dcterms:created>
  <dcterms:modified xsi:type="dcterms:W3CDTF">2022-08-09T06:08:00Z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