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C1" w:rsidRPr="00707B97" w:rsidRDefault="007D3EC1" w:rsidP="007D3EC1">
      <w:pPr>
        <w:pStyle w:val="Heading1"/>
      </w:pPr>
      <w:bookmarkStart w:id="0" w:name="_Toc425233592"/>
      <w:bookmarkStart w:id="1" w:name="_GoBack"/>
      <w:bookmarkEnd w:id="1"/>
      <w:r>
        <w:t>STRATEGIC PLAN</w:t>
      </w:r>
      <w:bookmarkEnd w:id="0"/>
    </w:p>
    <w:p w:rsidR="007D3EC1" w:rsidRDefault="007D3EC1" w:rsidP="007D3EC1"/>
    <w:p w:rsidR="007D3EC1" w:rsidRPr="005837BD" w:rsidRDefault="007D3EC1" w:rsidP="007D3EC1">
      <w:pPr>
        <w:rPr>
          <w:i/>
        </w:rPr>
      </w:pPr>
      <w:r w:rsidRPr="005837BD">
        <w:rPr>
          <w:i/>
        </w:rPr>
        <w:t>{This provides the strategic element of the process.  This page should give the reader a picture of where the Club is planning to be in 5 years’ time. The Strategic Plan is a high level document which will have annual operations planned out in the next section. - Delete this paragraph when finished}</w:t>
      </w:r>
    </w:p>
    <w:p w:rsidR="007D3EC1" w:rsidRPr="00E43F55" w:rsidRDefault="007D3EC1" w:rsidP="007D3EC1"/>
    <w:p w:rsidR="007D3EC1" w:rsidRPr="00E43F55" w:rsidRDefault="007D3EC1" w:rsidP="007D3EC1">
      <w:r>
        <w:t>The Strategic Plan of the &lt;Club&gt; Tennis Club provides a brief snapshot of where the club is aiming to be in 5 years’ time. This Strategic Plan has been established in</w:t>
      </w:r>
      <w:r w:rsidRPr="00E43F55">
        <w:t xml:space="preserve"> consultation with </w:t>
      </w:r>
      <w:r>
        <w:t xml:space="preserve">the club members and will be reviewed annually by the club committee </w:t>
      </w:r>
      <w:r w:rsidRPr="00E43F55">
        <w:t xml:space="preserve">to check its relevance and </w:t>
      </w:r>
      <w:r>
        <w:t xml:space="preserve">to </w:t>
      </w:r>
      <w:r w:rsidRPr="00E43F55">
        <w:t>adjust where necessary to be consistent with</w:t>
      </w:r>
      <w:r>
        <w:t xml:space="preserve"> the proposed direction and present situation.</w:t>
      </w:r>
    </w:p>
    <w:p w:rsidR="007D3EC1" w:rsidRDefault="007D3EC1" w:rsidP="007D3EC1"/>
    <w:p w:rsidR="007D3EC1" w:rsidRPr="005837BD" w:rsidRDefault="007D3EC1" w:rsidP="007D3EC1">
      <w:pPr>
        <w:pStyle w:val="NoSpacing"/>
        <w:rPr>
          <w:i/>
        </w:rPr>
      </w:pPr>
      <w:r w:rsidRPr="005837BD">
        <w:rPr>
          <w:i/>
        </w:rPr>
        <w:t>{For example}</w:t>
      </w:r>
    </w:p>
    <w:p w:rsidR="007D3EC1" w:rsidRPr="005837BD" w:rsidRDefault="007D3EC1" w:rsidP="007D3EC1">
      <w:pPr>
        <w:pStyle w:val="NoSpacing"/>
        <w:rPr>
          <w:i/>
        </w:rPr>
      </w:pPr>
    </w:p>
    <w:p w:rsidR="007D3EC1" w:rsidRPr="00242AD2" w:rsidRDefault="007D3EC1" w:rsidP="007D3EC1">
      <w:pPr>
        <w:pStyle w:val="NoSpacing"/>
        <w:rPr>
          <w:b/>
        </w:rPr>
      </w:pPr>
      <w:r w:rsidRPr="00242AD2">
        <w:rPr>
          <w:b/>
        </w:rPr>
        <w:t>Vision</w:t>
      </w:r>
    </w:p>
    <w:p w:rsidR="007D3EC1" w:rsidRPr="005837BD" w:rsidRDefault="007D3EC1" w:rsidP="007D3EC1">
      <w:pPr>
        <w:pStyle w:val="NoSpacing"/>
        <w:rPr>
          <w:i/>
        </w:rPr>
      </w:pPr>
      <w:r w:rsidRPr="005837BD">
        <w:rPr>
          <w:i/>
        </w:rPr>
        <w:t>To be the best sporting club within the &lt;Council&gt; region (or) &lt;Association&gt; Tennis Association.</w:t>
      </w:r>
    </w:p>
    <w:p w:rsidR="007D3EC1" w:rsidRPr="005837BD" w:rsidRDefault="007D3EC1" w:rsidP="007D3EC1">
      <w:pPr>
        <w:pStyle w:val="NoSpacing"/>
        <w:rPr>
          <w:i/>
        </w:rPr>
      </w:pPr>
    </w:p>
    <w:p w:rsidR="007D3EC1" w:rsidRPr="00242AD2" w:rsidRDefault="007D3EC1" w:rsidP="007D3EC1">
      <w:pPr>
        <w:pStyle w:val="NoSpacing"/>
        <w:rPr>
          <w:b/>
        </w:rPr>
      </w:pPr>
      <w:r w:rsidRPr="00242AD2">
        <w:rPr>
          <w:b/>
        </w:rPr>
        <w:t xml:space="preserve">Mission Statement </w:t>
      </w:r>
    </w:p>
    <w:p w:rsidR="007D3EC1" w:rsidRPr="005837BD" w:rsidRDefault="007D3EC1" w:rsidP="007D3EC1">
      <w:pPr>
        <w:pStyle w:val="NoSpacing"/>
        <w:rPr>
          <w:i/>
        </w:rPr>
      </w:pPr>
      <w:r w:rsidRPr="005837BD">
        <w:rPr>
          <w:i/>
        </w:rPr>
        <w:t>We will continue to be recognised as a friendly, welcoming club and a great place to play tennis in the &lt;Council&gt; region by providing excellent tennis facilities and a range of opportunities for members of all ages and abilities to participate in the club.</w:t>
      </w:r>
    </w:p>
    <w:p w:rsidR="007D3EC1" w:rsidRPr="005837BD" w:rsidRDefault="007D3EC1" w:rsidP="007D3EC1">
      <w:pPr>
        <w:pStyle w:val="NoSpacing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2625"/>
        <w:gridCol w:w="2458"/>
        <w:gridCol w:w="2463"/>
      </w:tblGrid>
      <w:tr w:rsidR="007D3EC1" w:rsidRPr="00DC254E" w:rsidTr="00707370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DC254E" w:rsidRDefault="007D3EC1" w:rsidP="00707370">
            <w:pPr>
              <w:pStyle w:val="NoSpacing"/>
              <w:rPr>
                <w:b/>
              </w:rPr>
            </w:pPr>
            <w:r w:rsidRPr="00DC254E">
              <w:rPr>
                <w:b/>
              </w:rPr>
              <w:t>Strategic Pillars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b/>
                <w:i/>
              </w:rPr>
            </w:pPr>
            <w:r w:rsidRPr="005837BD">
              <w:rPr>
                <w:b/>
                <w:i/>
              </w:rPr>
              <w:t>Club Management and Financial Sustainability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b/>
                <w:i/>
              </w:rPr>
            </w:pPr>
            <w:r w:rsidRPr="005837BD">
              <w:rPr>
                <w:b/>
                <w:i/>
              </w:rPr>
              <w:t xml:space="preserve">Facility Development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b/>
                <w:i/>
              </w:rPr>
            </w:pPr>
            <w:r w:rsidRPr="005837BD">
              <w:rPr>
                <w:b/>
                <w:i/>
              </w:rPr>
              <w:t>Membership and Participation</w:t>
            </w:r>
          </w:p>
        </w:tc>
      </w:tr>
      <w:tr w:rsidR="007D3EC1" w:rsidRPr="00C964CA" w:rsidTr="00707370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C1" w:rsidRPr="00DC254E" w:rsidRDefault="007D3EC1" w:rsidP="00707370">
            <w:pPr>
              <w:pStyle w:val="NoSpacing"/>
              <w:rPr>
                <w:b/>
              </w:rPr>
            </w:pPr>
            <w:r>
              <w:rPr>
                <w:b/>
              </w:rPr>
              <w:t>Strategic Aims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i/>
              </w:rPr>
            </w:pPr>
            <w:r w:rsidRPr="005837BD">
              <w:rPr>
                <w:i/>
              </w:rPr>
              <w:t>To ensure the sustainability and relevance of the club for members and the broader community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i/>
              </w:rPr>
            </w:pPr>
            <w:r w:rsidRPr="005837BD">
              <w:rPr>
                <w:i/>
              </w:rPr>
              <w:t>To ensure the facilities are developed and maintained to be relevant for members and the broader community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07370">
            <w:pPr>
              <w:pStyle w:val="NoSpacing"/>
              <w:rPr>
                <w:i/>
              </w:rPr>
            </w:pPr>
            <w:r w:rsidRPr="005837BD">
              <w:rPr>
                <w:i/>
              </w:rPr>
              <w:t xml:space="preserve">To actively encourage new members and retain existing members whilst ensuring member satisfaction through development of an annual Membership Plan </w:t>
            </w:r>
          </w:p>
        </w:tc>
      </w:tr>
      <w:tr w:rsidR="007D3EC1" w:rsidRPr="00C964CA" w:rsidTr="00707370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DC254E" w:rsidRDefault="007D3EC1" w:rsidP="00707370">
            <w:pPr>
              <w:pStyle w:val="NoSpacing"/>
              <w:rPr>
                <w:b/>
              </w:rPr>
            </w:pPr>
            <w:r w:rsidRPr="00DC254E">
              <w:rPr>
                <w:b/>
              </w:rPr>
              <w:t>Strategic Goals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Develop annual budget and funding plan, </w:t>
            </w:r>
            <w:proofErr w:type="spellStart"/>
            <w:r w:rsidRPr="005837BD">
              <w:rPr>
                <w:i/>
              </w:rPr>
              <w:t>inc</w:t>
            </w:r>
            <w:proofErr w:type="spellEnd"/>
            <w:r w:rsidRPr="005837BD">
              <w:rPr>
                <w:i/>
              </w:rPr>
              <w:t xml:space="preserve"> annual costs/fees review, that delivers an annual 10% operating profits after depreciation and sinking fund </w:t>
            </w:r>
          </w:p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>Link members’ skills with voluntary work/tasks/roles to deliver the most efficient committee by having members on a rolling 2 year appointment and succession plans.</w:t>
            </w:r>
          </w:p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Undertake a formal Club Health Check in the Club’s Governance, Compliance and other risk management processes that will achieve 100% compliance with Tennis SA, &lt;Association&gt; Tennis Association, &lt;Council&gt; City Council and SA Government, through the </w:t>
            </w:r>
            <w:r w:rsidRPr="005837BD">
              <w:rPr>
                <w:i/>
              </w:rPr>
              <w:lastRenderedPageBreak/>
              <w:t>Incorporations Act, policies and legislation.</w:t>
            </w:r>
          </w:p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>Instigate and develop new fundraising events that will deliver increase revenue by 20%</w:t>
            </w:r>
          </w:p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Maintain a great relationship with the other tenants that will deliver an outstanding rating of satisfaction and ability to share costs for facilities and activities conducted in partnership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lastRenderedPageBreak/>
              <w:t>Redevelop our venue with upgraded lighting on our existing courts, a new clubhouse development and car parking, and additional hard court provisions.</w:t>
            </w:r>
          </w:p>
          <w:p w:rsidR="007D3EC1" w:rsidRPr="005837BD" w:rsidRDefault="007D3EC1" w:rsidP="007D3EC1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>Establish a replacement program for facilities and equipment so that an annual budget can be assigned to repair and maintain facilities in line with the lease agreement.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C1" w:rsidRPr="005837BD" w:rsidRDefault="007D3EC1" w:rsidP="007D3EC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>Increase the Club’s membership by 25%.</w:t>
            </w:r>
          </w:p>
          <w:p w:rsidR="007D3EC1" w:rsidRPr="005837BD" w:rsidRDefault="007D3EC1" w:rsidP="007D3EC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Increase paid casual court hire by 50% from x </w:t>
            </w:r>
            <w:proofErr w:type="spellStart"/>
            <w:r w:rsidRPr="005837BD">
              <w:rPr>
                <w:i/>
              </w:rPr>
              <w:t>to y</w:t>
            </w:r>
            <w:proofErr w:type="spellEnd"/>
            <w:r w:rsidRPr="005837BD">
              <w:rPr>
                <w:i/>
              </w:rPr>
              <w:t xml:space="preserve"> by 30 June 2020. </w:t>
            </w:r>
          </w:p>
          <w:p w:rsidR="007D3EC1" w:rsidRPr="005837BD" w:rsidRDefault="007D3EC1" w:rsidP="007D3EC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Increase coaching revenue by 25% from x </w:t>
            </w:r>
            <w:proofErr w:type="spellStart"/>
            <w:r w:rsidRPr="005837BD">
              <w:rPr>
                <w:i/>
              </w:rPr>
              <w:t>to y</w:t>
            </w:r>
            <w:proofErr w:type="spellEnd"/>
            <w:r w:rsidRPr="005837BD">
              <w:rPr>
                <w:i/>
              </w:rPr>
              <w:t xml:space="preserve"> by 30 June 2020. </w:t>
            </w:r>
          </w:p>
          <w:p w:rsidR="007D3EC1" w:rsidRDefault="007D3EC1" w:rsidP="007D3EC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 w:rsidRPr="005837BD">
              <w:rPr>
                <w:i/>
              </w:rPr>
              <w:t xml:space="preserve">Increase tournaments revenue by 50% from x </w:t>
            </w:r>
            <w:proofErr w:type="spellStart"/>
            <w:r w:rsidRPr="005837BD">
              <w:rPr>
                <w:i/>
              </w:rPr>
              <w:t>to y</w:t>
            </w:r>
            <w:proofErr w:type="spellEnd"/>
            <w:r w:rsidRPr="005837BD">
              <w:rPr>
                <w:i/>
              </w:rPr>
              <w:t xml:space="preserve"> by 30 June 2020. </w:t>
            </w:r>
          </w:p>
          <w:p w:rsidR="007D3EC1" w:rsidRPr="005837BD" w:rsidRDefault="007D3EC1" w:rsidP="007D3EC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i/>
              </w:rPr>
            </w:pPr>
            <w:r>
              <w:rPr>
                <w:i/>
              </w:rPr>
              <w:t xml:space="preserve">Increase team numbers in the &lt;Association&gt; Tennis Association from x </w:t>
            </w:r>
            <w:proofErr w:type="spellStart"/>
            <w:r>
              <w:rPr>
                <w:i/>
              </w:rPr>
              <w:t>to y</w:t>
            </w:r>
            <w:proofErr w:type="spellEnd"/>
            <w:r>
              <w:rPr>
                <w:i/>
              </w:rPr>
              <w:t xml:space="preserve"> by the 2020/21 season.</w:t>
            </w:r>
          </w:p>
        </w:tc>
      </w:tr>
    </w:tbl>
    <w:p w:rsidR="007D3EC1" w:rsidRDefault="007D3EC1" w:rsidP="007D3EC1"/>
    <w:p w:rsidR="007D3EC1" w:rsidRPr="00E43F55" w:rsidRDefault="007D3EC1" w:rsidP="007D3EC1">
      <w:pPr>
        <w:pStyle w:val="Heading1"/>
      </w:pPr>
      <w:r w:rsidRPr="00E43F55">
        <w:br w:type="page"/>
      </w:r>
    </w:p>
    <w:p w:rsidR="005C0C19" w:rsidRDefault="005C0C19"/>
    <w:sectPr w:rsidR="005C0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B21EE"/>
    <w:multiLevelType w:val="hybridMultilevel"/>
    <w:tmpl w:val="E1F61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8B1"/>
    <w:multiLevelType w:val="hybridMultilevel"/>
    <w:tmpl w:val="9D52BA6A"/>
    <w:lvl w:ilvl="0" w:tplc="B43287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C1"/>
    <w:rsid w:val="00221152"/>
    <w:rsid w:val="005C0C19"/>
    <w:rsid w:val="007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C12EB-A6AE-4434-9F7C-1B0D78B4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C1"/>
    <w:pPr>
      <w:spacing w:after="0" w:line="240" w:lineRule="auto"/>
    </w:pPr>
    <w:rPr>
      <w:rFonts w:ascii="Myriad Pro" w:eastAsia="Times New Roman" w:hAnsi="Myriad Pro" w:cs="Times New Roman"/>
      <w:color w:val="5F5F5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EC1"/>
    <w:pPr>
      <w:keepNext/>
      <w:keepLines/>
      <w:outlineLvl w:val="0"/>
    </w:pPr>
    <w:rPr>
      <w:rFonts w:eastAsiaTheme="majorEastAsia" w:cstheme="majorBidi"/>
      <w:b/>
      <w:bCs/>
      <w:color w:val="009BD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C1"/>
    <w:rPr>
      <w:rFonts w:ascii="Myriad Pro" w:eastAsiaTheme="majorEastAsia" w:hAnsi="Myriad Pro" w:cstheme="majorBidi"/>
      <w:b/>
      <w:bCs/>
      <w:color w:val="009BD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D3EC1"/>
    <w:pPr>
      <w:numPr>
        <w:numId w:val="1"/>
      </w:numPr>
      <w:contextualSpacing/>
    </w:pPr>
    <w:rPr>
      <w:rFonts w:eastAsiaTheme="minorEastAsia" w:cstheme="minorBidi"/>
      <w:lang w:val="en-US"/>
    </w:rPr>
  </w:style>
  <w:style w:type="paragraph" w:styleId="NoSpacing">
    <w:name w:val="No Spacing"/>
    <w:basedOn w:val="Normal"/>
    <w:uiPriority w:val="1"/>
    <w:qFormat/>
    <w:rsid w:val="007D3EC1"/>
  </w:style>
  <w:style w:type="table" w:styleId="TableGrid">
    <w:name w:val="Table Grid"/>
    <w:basedOn w:val="TableNormal"/>
    <w:uiPriority w:val="39"/>
    <w:rsid w:val="007D3EC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Tennis Australia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dc:description/>
  <cp:lastModifiedBy>Jenny Macpherson</cp:lastModifiedBy>
  <cp:revision>2</cp:revision>
  <dcterms:created xsi:type="dcterms:W3CDTF">2016-06-14T07:07:00Z</dcterms:created>
  <dcterms:modified xsi:type="dcterms:W3CDTF">2016-06-14T07:07:00Z</dcterms:modified>
</cp:coreProperties>
</file>